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0570"/>
      </w:tblGrid>
      <w:tr>
        <w:trPr>
          <w:cantSplit/>
        </w:trPr>
        <w:tc>
          <w:tcPr>
            <w:tcW w:type="dxa" w:w="10570"/>
            <w:shd w:fill="FFF9ED"/>
            <w:tcMar>
              <w:top w:w="180" w:type="dxa"/>
              <w:start w:w="220" w:type="dxa"/>
              <w:bottom w:w="180" w:type="dxa"/>
              <w:end w:w="220" w:type="dxa"/>
            </w:tcMar>
          </w:tcPr>
          <w:p>
            <w:pPr>
              <w:jc w:val="center"/>
            </w:pPr>
            <w:r>
              <w:rPr>
                <w:rFonts w:ascii="Bookman Old Style" w:hAnsi="Bookman Old Style"/>
                <w:b/>
                <w:color w:val="2D5B4A"/>
                <w:sz w:val="34"/>
              </w:rPr>
              <w:t>WAYLON’S</w:t>
            </w:r>
          </w:p>
          <w:p>
            <w:pPr>
              <w:jc w:val="center"/>
            </w:pPr>
            <w:r>
              <w:rPr>
                <w:rFonts w:ascii="Bookman Old Style" w:hAnsi="Bookman Old Style"/>
                <w:b/>
                <w:color w:val="183A63"/>
                <w:sz w:val="62"/>
              </w:rPr>
              <w:t>Potty Learning</w:t>
              <w:br/>
              <w:t>Caregiver Guide</w:t>
            </w:r>
          </w:p>
          <w:p>
            <w:pPr>
              <w:jc w:val="center"/>
            </w:pPr>
            <w:r>
              <w:rPr>
                <w:rFonts w:ascii="Aptos" w:hAnsi="Aptos"/>
                <w:b/>
                <w:color w:val="2D5B4A"/>
                <w:sz w:val="30"/>
              </w:rPr>
              <w:t>&amp; detachable daily practice plan</w:t>
            </w:r>
          </w:p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303520" cy="3535680"/>
                  <wp:docPr id="1" name="Picture 1" descr="Waylon smiles beside his yellow dump truck, wearing his camouflage hoodie, blue jeans, and tan work boots.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xec-d056e3a7-a069-4bca-b6b3-fd89cf47c173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03520" cy="353568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b/>
                <w:color w:val="183A63"/>
                <w:sz w:val="26"/>
              </w:rPr>
              <w:t>Listen • Tell • Sit • Try • Wash • Celebrate</w:t>
            </w:r>
          </w:p>
        </w:tc>
      </w:tr>
    </w:tbl>
    <w:p>
      <w:pPr>
        <w:jc w:val="center"/>
      </w:pPr>
      <w:r>
        <w:rPr>
          <w:i/>
        </w:rPr>
        <w:t>The goal is growing body awareness, communication, and confidence—not perfection on a deadline.</w:t>
      </w:r>
    </w:p>
    <w:p>
      <w:r>
        <w:br w:type="page"/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8352"/>
        <w:gridCol w:w="2088"/>
      </w:tblGrid>
      <w:tr>
        <w:trPr>
          <w:cantSplit/>
        </w:trPr>
        <w:tc>
          <w:tcPr>
            <w:tcW w:type="dxa" w:w="5285"/>
            <w:shd w:fill="FFF9ED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b/>
                <w:color w:val="2D5B4A"/>
                <w:sz w:val="17"/>
              </w:rPr>
              <w:t>WAYLON’S POTTY LEARNING ADVENTURE</w:t>
            </w:r>
          </w:p>
        </w:tc>
        <w:tc>
          <w:tcPr>
            <w:tcW w:type="dxa" w:w="5285"/>
            <w:shd w:fill="FFF9ED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right"/>
            </w:pPr>
            <w:r>
              <w:rPr>
                <w:rFonts w:ascii="Aptos" w:hAnsi="Aptos"/>
                <w:b/>
                <w:color w:val="183A63"/>
                <w:sz w:val="15"/>
              </w:rPr>
              <w:t>OAKBROOK WAY ACADEMY</w:t>
            </w:r>
          </w:p>
        </w:tc>
      </w:tr>
    </w:tbl>
    <w:p>
      <w:pPr>
        <w:pStyle w:val="Heading1"/>
        <w:keepNext/>
      </w:pPr>
      <w:r>
        <w:t>1. Start Here: Ready, Set, Support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440"/>
      </w:tblGrid>
      <w:tr>
        <w:trPr>
          <w:cantSplit/>
        </w:trPr>
        <w:tc>
          <w:tcPr>
            <w:tcW w:type="dxa" w:w="10570"/>
            <w:shd w:fill="DDE7D7"/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pPr>
              <w:pStyle w:val="Heading2"/>
              <w:keepNext/>
            </w:pPr>
            <w:r>
              <w:t>What readiness can look like</w:t>
            </w:r>
          </w:p>
          <w:p>
            <w:pPr>
              <w:spacing w:after="80"/>
            </w:pPr>
            <w:r>
              <w:t>Look for a cluster of skills—not a birthday or a single “perfect” sign.</w:t>
            </w:r>
          </w:p>
          <w:p>
            <w:pPr>
              <w:ind w:left="173" w:hanging="173"/>
            </w:pPr>
            <w:r>
              <w:rPr>
                <w:b/>
              </w:rPr>
              <w:t xml:space="preserve">• </w:t>
            </w:r>
            <w:r>
              <w:t>Stays dry for a stretch or has somewhat predictable bowel movements.</w:t>
            </w:r>
          </w:p>
          <w:p>
            <w:pPr>
              <w:ind w:left="173" w:hanging="173"/>
            </w:pPr>
            <w:r>
              <w:rPr>
                <w:b/>
              </w:rPr>
              <w:t xml:space="preserve">• </w:t>
            </w:r>
            <w:r>
              <w:t>Notices wet/dirty clothing or pauses, wiggles, gets quiet, hides, or holds his tummy.</w:t>
            </w:r>
          </w:p>
          <w:p>
            <w:pPr>
              <w:ind w:left="173" w:hanging="173"/>
            </w:pPr>
            <w:r>
              <w:rPr>
                <w:b/>
              </w:rPr>
              <w:t xml:space="preserve">• </w:t>
            </w:r>
            <w:r>
              <w:t>Can walk to the bathroom, sit briefly with support, and help push clothing down or up.</w:t>
            </w:r>
          </w:p>
          <w:p>
            <w:pPr>
              <w:ind w:left="173" w:hanging="173"/>
            </w:pPr>
            <w:r>
              <w:rPr>
                <w:b/>
              </w:rPr>
              <w:t xml:space="preserve">• </w:t>
            </w:r>
            <w:r>
              <w:t>Understands simple one-step directions and can signal “potty,” “help,” or “all done.”</w:t>
            </w:r>
          </w:p>
          <w:p>
            <w:pPr>
              <w:ind w:left="173" w:hanging="173"/>
            </w:pPr>
            <w:r>
              <w:rPr>
                <w:b/>
              </w:rPr>
              <w:t xml:space="preserve">• </w:t>
            </w:r>
            <w:r>
              <w:t>Shows curiosity about the bathroom or wants to imitate grown-ups.</w:t>
            </w:r>
          </w:p>
        </w:tc>
      </w:tr>
    </w:tbl>
    <w:p>
      <w:pPr>
        <w:spacing w:after="2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440"/>
      </w:tblGrid>
      <w:tr>
        <w:trPr>
          <w:cantSplit/>
        </w:trPr>
        <w:tc>
          <w:tcPr>
            <w:tcW w:type="dxa" w:w="10570"/>
            <w:shd w:fill="EAF3F7"/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pPr>
              <w:pStyle w:val="Heading2"/>
              <w:keepNext/>
            </w:pPr>
            <w:r>
              <w:t>Set up for success</w:t>
            </w:r>
          </w:p>
          <w:p>
            <w:pPr>
              <w:ind w:left="173" w:hanging="173"/>
            </w:pPr>
            <w:r>
              <w:rPr>
                <w:b/>
              </w:rPr>
              <w:t xml:space="preserve">• </w:t>
            </w:r>
            <w:r>
              <w:t>Keep a child potty or secure toilet insert and sturdy footstool available. Feet should feel supported.</w:t>
            </w:r>
          </w:p>
          <w:p>
            <w:pPr>
              <w:ind w:left="173" w:hanging="173"/>
            </w:pPr>
            <w:r>
              <w:rPr>
                <w:b/>
              </w:rPr>
              <w:t xml:space="preserve">• </w:t>
            </w:r>
            <w:r>
              <w:t>Choose easy clothing: elastic waist, roomy pants, no tricky fasteners.</w:t>
            </w:r>
          </w:p>
          <w:p>
            <w:pPr>
              <w:ind w:left="173" w:hanging="173"/>
            </w:pPr>
            <w:r>
              <w:rPr>
                <w:b/>
              </w:rPr>
              <w:t xml:space="preserve">• </w:t>
            </w:r>
            <w:r>
              <w:t>Place the body-signal cards where play happens and the routine cards in the bathroom.</w:t>
            </w:r>
          </w:p>
          <w:p>
            <w:pPr>
              <w:ind w:left="173" w:hanging="173"/>
            </w:pPr>
            <w:r>
              <w:rPr>
                <w:b/>
              </w:rPr>
              <w:t xml:space="preserve">• </w:t>
            </w:r>
            <w:r>
              <w:t>Use the same short phrases across caregivers. Keep wipes, clean clothes, and a bag ready without fanfare.</w:t>
            </w:r>
          </w:p>
        </w:tc>
      </w:tr>
    </w:tbl>
    <w:p>
      <w:pPr>
        <w:spacing w:after="2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440"/>
      </w:tblGrid>
      <w:tr>
        <w:trPr>
          <w:cantSplit/>
        </w:trPr>
        <w:tc>
          <w:tcPr>
            <w:tcW w:type="dxa" w:w="10570"/>
            <w:shd w:fill="E7B94B"/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pPr>
              <w:pStyle w:val="Heading2"/>
              <w:keepNext/>
            </w:pPr>
            <w:r>
              <w:t>Our success definition</w:t>
            </w:r>
          </w:p>
          <w:p>
            <w:pPr>
              <w:spacing w:after="80"/>
            </w:pPr>
            <w:r>
              <w:t>A success can be telling, walking to the bathroom, sitting, trying, completing a step, or calmly helping after an accident. Pee or poop in the potty is one success—not the only one.</w:t>
            </w:r>
          </w:p>
        </w:tc>
      </w:tr>
    </w:tbl>
    <w:p>
      <w:pPr>
        <w:spacing w:after="20"/>
      </w:pPr>
    </w:p>
    <w:p>
      <w:r>
        <w:br w:type="page"/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8352"/>
        <w:gridCol w:w="2088"/>
      </w:tblGrid>
      <w:tr>
        <w:trPr>
          <w:cantSplit/>
        </w:trPr>
        <w:tc>
          <w:tcPr>
            <w:tcW w:type="dxa" w:w="5285"/>
            <w:shd w:fill="FFF9ED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b/>
                <w:color w:val="2D5B4A"/>
                <w:sz w:val="17"/>
              </w:rPr>
              <w:t>DETACHABLE QUICK PLAN • MOM • DAD • GRANDMA</w:t>
            </w:r>
          </w:p>
        </w:tc>
        <w:tc>
          <w:tcPr>
            <w:tcW w:type="dxa" w:w="5285"/>
            <w:shd w:fill="FFF9ED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right"/>
            </w:pPr>
            <w:r>
              <w:rPr>
                <w:rFonts w:ascii="Aptos" w:hAnsi="Aptos"/>
                <w:b/>
                <w:color w:val="183A63"/>
                <w:sz w:val="15"/>
              </w:rPr>
              <w:t>OAKBROOK WAY ACADEMY</w:t>
            </w:r>
          </w:p>
        </w:tc>
      </w:tr>
    </w:tbl>
    <w:p>
      <w:pPr>
        <w:pStyle w:val="Heading1"/>
        <w:keepNext/>
      </w:pPr>
      <w:r>
        <w:t>2. Potty Stop Practice Plan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440"/>
      </w:tblGrid>
      <w:tr>
        <w:trPr>
          <w:cantSplit/>
        </w:trPr>
        <w:tc>
          <w:tcPr>
            <w:tcW w:type="dxa" w:w="10570"/>
            <w:shd w:fill="DDE7D7"/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pPr>
              <w:pStyle w:val="Heading2"/>
              <w:keepNext/>
            </w:pPr>
            <w:r>
              <w:t>The rhythm</w:t>
            </w:r>
          </w:p>
          <w:p>
            <w:pPr>
              <w:spacing w:after="80"/>
            </w:pPr>
            <w:r>
              <w:t>Offer predictable chances without turning the whole day into bathroom talk. Start with the natural transitions below and adjust to Waylon’s patterns.</w:t>
            </w:r>
          </w:p>
        </w:tc>
      </w:tr>
    </w:tbl>
    <w:p>
      <w:pPr>
        <w:spacing w:after="2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523"/>
        <w:gridCol w:w="3523"/>
        <w:gridCol w:w="3523"/>
      </w:tblGrid>
      <w:tr>
        <w:trPr>
          <w:tblHeader w:val="true"/>
          <w:cantSplit/>
        </w:trPr>
        <w:tc>
          <w:tcPr>
            <w:tcW w:type="dxa" w:w="2448"/>
            <w:shd w:fill="183A63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WHEN</w:t>
            </w:r>
          </w:p>
        </w:tc>
        <w:tc>
          <w:tcPr>
            <w:tcW w:type="dxa" w:w="4104"/>
            <w:shd w:fill="183A63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GROWN-UP CUE</w:t>
            </w:r>
          </w:p>
        </w:tc>
        <w:tc>
          <w:tcPr>
            <w:tcW w:type="dxa" w:w="3888"/>
            <w:shd w:fill="183A63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WHAT COUNTS</w:t>
            </w:r>
          </w:p>
        </w:tc>
      </w:tr>
      <w:tr>
        <w:trPr>
          <w:cantSplit/>
        </w:trPr>
        <w:tc>
          <w:tcPr>
            <w:tcW w:type="dxa" w:w="2448"/>
            <w:shd w:fill="FFF9ED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b/>
              </w:rPr>
              <w:t>After waking</w:t>
            </w:r>
          </w:p>
        </w:tc>
        <w:tc>
          <w:tcPr>
            <w:tcW w:type="dxa" w:w="4104"/>
            <w:shd w:fill="FFF9ED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t>“Let’s make a quick potty stop.”</w:t>
            </w:r>
          </w:p>
        </w:tc>
        <w:tc>
          <w:tcPr>
            <w:tcW w:type="dxa" w:w="3888"/>
            <w:shd w:fill="FFF9ED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t>Tell, walk, sit, or try.</w:t>
            </w:r>
          </w:p>
        </w:tc>
      </w:tr>
      <w:tr>
        <w:trPr>
          <w:cantSplit/>
        </w:trPr>
        <w:tc>
          <w:tcPr>
            <w:tcW w:type="dxa" w:w="2448"/>
            <w:shd w:fill="EAF3F7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b/>
              </w:rPr>
              <w:t>Before leaving</w:t>
            </w:r>
          </w:p>
        </w:tc>
        <w:tc>
          <w:tcPr>
            <w:tcW w:type="dxa" w:w="4104"/>
            <w:shd w:fill="EAF3F7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t>“Potty stop, then boots.”</w:t>
            </w:r>
          </w:p>
        </w:tc>
        <w:tc>
          <w:tcPr>
            <w:tcW w:type="dxa" w:w="3888"/>
            <w:shd w:fill="EAF3F7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t>A brief calm check-in.</w:t>
            </w:r>
          </w:p>
        </w:tc>
      </w:tr>
      <w:tr>
        <w:trPr>
          <w:cantSplit/>
        </w:trPr>
        <w:tc>
          <w:tcPr>
            <w:tcW w:type="dxa" w:w="2448"/>
            <w:shd w:fill="FFF9ED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b/>
              </w:rPr>
              <w:t>After meals / when signals appear</w:t>
            </w:r>
          </w:p>
        </w:tc>
        <w:tc>
          <w:tcPr>
            <w:tcW w:type="dxa" w:w="4104"/>
            <w:shd w:fill="FFF9ED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t>“Your body may be talking. Potty or help?”</w:t>
            </w:r>
          </w:p>
        </w:tc>
        <w:tc>
          <w:tcPr>
            <w:tcW w:type="dxa" w:w="3888"/>
            <w:shd w:fill="FFF9ED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t>Using a word, card, gesture, or going.</w:t>
            </w:r>
          </w:p>
        </w:tc>
      </w:tr>
      <w:tr>
        <w:trPr>
          <w:cantSplit/>
        </w:trPr>
        <w:tc>
          <w:tcPr>
            <w:tcW w:type="dxa" w:w="2448"/>
            <w:shd w:fill="EAF3F7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b/>
              </w:rPr>
              <w:t>Before bath or pajamas</w:t>
            </w:r>
          </w:p>
        </w:tc>
        <w:tc>
          <w:tcPr>
            <w:tcW w:type="dxa" w:w="4104"/>
            <w:shd w:fill="EAF3F7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t>“Let’s finish our routine.”</w:t>
            </w:r>
          </w:p>
        </w:tc>
        <w:tc>
          <w:tcPr>
            <w:tcW w:type="dxa" w:w="3888"/>
            <w:shd w:fill="EAF3F7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t>Any completed step.</w:t>
            </w:r>
          </w:p>
        </w:tc>
      </w:tr>
      <w:tr>
        <w:trPr>
          <w:cantSplit/>
        </w:trPr>
        <w:tc>
          <w:tcPr>
            <w:tcW w:type="dxa" w:w="2448"/>
            <w:shd w:fill="FFF9ED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b/>
              </w:rPr>
              <w:t>Before sleep</w:t>
            </w:r>
          </w:p>
        </w:tc>
        <w:tc>
          <w:tcPr>
            <w:tcW w:type="dxa" w:w="4104"/>
            <w:shd w:fill="FFF9ED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t>“One calm try, then story.”</w:t>
            </w:r>
          </w:p>
        </w:tc>
        <w:tc>
          <w:tcPr>
            <w:tcW w:type="dxa" w:w="3888"/>
            <w:shd w:fill="FFF9ED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t>No pressure to produce.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440"/>
      </w:tblGrid>
      <w:tr>
        <w:trPr>
          <w:cantSplit/>
        </w:trPr>
        <w:tc>
          <w:tcPr>
            <w:tcW w:type="dxa" w:w="10570"/>
            <w:shd w:fill="EAF3F7"/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pPr>
              <w:pStyle w:val="Heading2"/>
              <w:keepNext/>
            </w:pPr>
            <w:r>
              <w:t>A calm sit</w:t>
            </w:r>
          </w:p>
          <w:p>
            <w:pPr>
              <w:spacing w:after="80"/>
            </w:pPr>
            <w:r>
              <w:t>Invite—do not force. Keep the sit short (for example, one brief song or a short book). Say “All done” and move on if Waylon declines or becomes upset.</w:t>
            </w:r>
          </w:p>
        </w:tc>
      </w:tr>
    </w:tbl>
    <w:p>
      <w:pPr>
        <w:spacing w:after="2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440"/>
      </w:tblGrid>
      <w:tr>
        <w:trPr>
          <w:cantSplit/>
        </w:trPr>
        <w:tc>
          <w:tcPr>
            <w:tcW w:type="dxa" w:w="10570"/>
            <w:shd w:fill="FFF9ED"/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pPr>
              <w:pStyle w:val="Heading2"/>
              <w:keepNext/>
            </w:pPr>
            <w:r>
              <w:t>Track the pattern, not the score</w:t>
            </w:r>
          </w:p>
          <w:p>
            <w:pPr>
              <w:spacing w:after="80"/>
            </w:pPr>
            <w:r>
              <w:t>For one week, jot down when Waylon naturally pees or poops and which body signals appear first. Use that information to time invitations; do not display accident totals.</w:t>
            </w:r>
          </w:p>
        </w:tc>
      </w:tr>
    </w:tbl>
    <w:p>
      <w:pPr>
        <w:spacing w:after="20"/>
      </w:pPr>
    </w:p>
    <w:p>
      <w:r>
        <w:br w:type="page"/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8352"/>
        <w:gridCol w:w="2088"/>
      </w:tblGrid>
      <w:tr>
        <w:trPr>
          <w:cantSplit/>
        </w:trPr>
        <w:tc>
          <w:tcPr>
            <w:tcW w:type="dxa" w:w="5285"/>
            <w:shd w:fill="FFF9ED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b/>
                <w:color w:val="2D5B4A"/>
                <w:sz w:val="17"/>
              </w:rPr>
              <w:t>WAYLON’S POTTY LEARNING ADVENTURE</w:t>
            </w:r>
          </w:p>
        </w:tc>
        <w:tc>
          <w:tcPr>
            <w:tcW w:type="dxa" w:w="5285"/>
            <w:shd w:fill="FFF9ED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right"/>
            </w:pPr>
            <w:r>
              <w:rPr>
                <w:rFonts w:ascii="Aptos" w:hAnsi="Aptos"/>
                <w:b/>
                <w:color w:val="183A63"/>
                <w:sz w:val="15"/>
              </w:rPr>
              <w:t>OAKBROOK WAY ACADEMY</w:t>
            </w:r>
          </w:p>
        </w:tc>
      </w:tr>
    </w:tbl>
    <w:p>
      <w:pPr>
        <w:pStyle w:val="Heading1"/>
        <w:keepNext/>
      </w:pPr>
      <w:r>
        <w:t>3. Words That Build Confidence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285"/>
        <w:gridCol w:w="5285"/>
      </w:tblGrid>
      <w:tr>
        <w:trPr>
          <w:cantSplit/>
        </w:trPr>
        <w:tc>
          <w:tcPr>
            <w:tcW w:type="dxa" w:w="5285"/>
            <w:shd w:fill="FFF9ED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b/>
                <w:color w:val="2D5B4A"/>
              </w:rPr>
              <w:t>When you notice a signal</w:t>
            </w:r>
          </w:p>
        </w:tc>
        <w:tc>
          <w:tcPr>
            <w:tcW w:type="dxa" w:w="5285"/>
            <w:shd w:fill="FFF9ED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b/>
              </w:rPr>
              <w:t>“I see your body getting quiet. Is your body telling you potty?”</w:t>
            </w:r>
          </w:p>
        </w:tc>
      </w:tr>
      <w:tr>
        <w:trPr>
          <w:cantSplit/>
        </w:trPr>
        <w:tc>
          <w:tcPr>
            <w:tcW w:type="dxa" w:w="5285"/>
            <w:shd w:fill="EAF3F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b/>
                <w:color w:val="2D5B4A"/>
              </w:rPr>
              <w:t>When he tells you</w:t>
            </w:r>
          </w:p>
        </w:tc>
        <w:tc>
          <w:tcPr>
            <w:tcW w:type="dxa" w:w="5285"/>
            <w:shd w:fill="EAF3F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b/>
              </w:rPr>
              <w:t>“You listened and told me. Let’s go together.”</w:t>
            </w:r>
          </w:p>
        </w:tc>
      </w:tr>
      <w:tr>
        <w:trPr>
          <w:cantSplit/>
        </w:trPr>
        <w:tc>
          <w:tcPr>
            <w:tcW w:type="dxa" w:w="5285"/>
            <w:shd w:fill="FFF9ED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b/>
                <w:color w:val="2D5B4A"/>
              </w:rPr>
              <w:t>When he sits or tries</w:t>
            </w:r>
          </w:p>
        </w:tc>
        <w:tc>
          <w:tcPr>
            <w:tcW w:type="dxa" w:w="5285"/>
            <w:shd w:fill="FFF9ED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b/>
              </w:rPr>
              <w:t>“You sat and tried. That is how your body learns.”</w:t>
            </w:r>
          </w:p>
        </w:tc>
      </w:tr>
      <w:tr>
        <w:trPr>
          <w:cantSplit/>
        </w:trPr>
        <w:tc>
          <w:tcPr>
            <w:tcW w:type="dxa" w:w="5285"/>
            <w:shd w:fill="EAF3F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b/>
                <w:color w:val="2D5B4A"/>
              </w:rPr>
              <w:t>When nothing happens</w:t>
            </w:r>
          </w:p>
        </w:tc>
        <w:tc>
          <w:tcPr>
            <w:tcW w:type="dxa" w:w="5285"/>
            <w:shd w:fill="EAF3F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b/>
              </w:rPr>
              <w:t>“Nothing came this time. Your calm try still counts.”</w:t>
            </w:r>
          </w:p>
        </w:tc>
      </w:tr>
      <w:tr>
        <w:trPr>
          <w:cantSplit/>
        </w:trPr>
        <w:tc>
          <w:tcPr>
            <w:tcW w:type="dxa" w:w="5285"/>
            <w:shd w:fill="FFF9ED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b/>
                <w:color w:val="2D5B4A"/>
              </w:rPr>
              <w:t>After a potty success</w:t>
            </w:r>
          </w:p>
        </w:tc>
        <w:tc>
          <w:tcPr>
            <w:tcW w:type="dxa" w:w="5285"/>
            <w:shd w:fill="FFF9ED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b/>
              </w:rPr>
              <w:t>“You listened, went, and finished your steps!”</w:t>
            </w:r>
          </w:p>
        </w:tc>
      </w:tr>
      <w:tr>
        <w:trPr>
          <w:cantSplit/>
        </w:trPr>
        <w:tc>
          <w:tcPr>
            <w:tcW w:type="dxa" w:w="5285"/>
            <w:shd w:fill="EAF3F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b/>
                <w:color w:val="2D5B4A"/>
              </w:rPr>
              <w:t>When he says no</w:t>
            </w:r>
          </w:p>
        </w:tc>
        <w:tc>
          <w:tcPr>
            <w:tcW w:type="dxa" w:w="5285"/>
            <w:shd w:fill="EAF3F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b/>
              </w:rPr>
              <w:t>“You’re not ready right now. I’ll help you check again later.”</w:t>
            </w:r>
          </w:p>
        </w:tc>
      </w:tr>
    </w:tbl>
    <w:p/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440"/>
      </w:tblGrid>
      <w:tr>
        <w:trPr>
          <w:cantSplit/>
        </w:trPr>
        <w:tc>
          <w:tcPr>
            <w:tcW w:type="dxa" w:w="10570"/>
            <w:shd w:fill="E7B94B"/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pPr>
              <w:pStyle w:val="Heading2"/>
              <w:keepNext/>
            </w:pPr>
            <w:r>
              <w:t>Keep language neutral</w:t>
            </w:r>
          </w:p>
          <w:p>
            <w:pPr>
              <w:spacing w:after="80"/>
            </w:pPr>
            <w:r>
              <w:t>Use “pee,” “poop,” “wet,” “dry,” “clean,” and “comfortable.” Avoid “big boy,” “baby,” “bad,” “yucky,” teasing, bargaining, or comparisons.</w:t>
            </w:r>
          </w:p>
        </w:tc>
      </w:tr>
    </w:tbl>
    <w:p>
      <w:pPr>
        <w:spacing w:after="2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440"/>
      </w:tblGrid>
      <w:tr>
        <w:trPr>
          <w:cantSplit/>
        </w:trPr>
        <w:tc>
          <w:tcPr>
            <w:tcW w:type="dxa" w:w="10570"/>
            <w:shd w:fill="DDE7D7"/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pPr>
              <w:pStyle w:val="Heading2"/>
              <w:keepNext/>
            </w:pPr>
            <w:r>
              <w:t>Offer two acceptable choices</w:t>
            </w:r>
          </w:p>
          <w:p>
            <w:pPr>
              <w:spacing w:after="80"/>
            </w:pPr>
            <w:r>
              <w:t>“Little potty or toilet seat?” • “Walk or hold my hand?” • “Truck book or one song?” Choices support control without making the bathroom optional forever.</w:t>
            </w:r>
          </w:p>
        </w:tc>
      </w:tr>
    </w:tbl>
    <w:p>
      <w:pPr>
        <w:spacing w:after="20"/>
      </w:pPr>
    </w:p>
    <w:p>
      <w:r>
        <w:br w:type="page"/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8352"/>
        <w:gridCol w:w="2088"/>
      </w:tblGrid>
      <w:tr>
        <w:trPr>
          <w:cantSplit/>
        </w:trPr>
        <w:tc>
          <w:tcPr>
            <w:tcW w:type="dxa" w:w="5285"/>
            <w:shd w:fill="FFF9ED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b/>
                <w:color w:val="2D5B4A"/>
                <w:sz w:val="17"/>
              </w:rPr>
              <w:t>WAYLON’S POTTY LEARNING ADVENTURE</w:t>
            </w:r>
          </w:p>
        </w:tc>
        <w:tc>
          <w:tcPr>
            <w:tcW w:type="dxa" w:w="5285"/>
            <w:shd w:fill="FFF9ED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right"/>
            </w:pPr>
            <w:r>
              <w:rPr>
                <w:rFonts w:ascii="Aptos" w:hAnsi="Aptos"/>
                <w:b/>
                <w:color w:val="183A63"/>
                <w:sz w:val="15"/>
              </w:rPr>
              <w:t>OAKBROOK WAY ACADEMY</w:t>
            </w:r>
          </w:p>
        </w:tc>
      </w:tr>
    </w:tbl>
    <w:p>
      <w:pPr>
        <w:pStyle w:val="Heading1"/>
        <w:keepNext/>
      </w:pPr>
      <w:r>
        <w:t>4. Accidents, Resistance &amp; Big Feelings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440"/>
      </w:tblGrid>
      <w:tr>
        <w:trPr>
          <w:cantSplit/>
        </w:trPr>
        <w:tc>
          <w:tcPr>
            <w:tcW w:type="dxa" w:w="10570"/>
            <w:shd w:fill="EAF3F7"/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pPr>
              <w:pStyle w:val="Heading2"/>
              <w:keepNext/>
            </w:pPr>
            <w:r>
              <w:t>Accidents are information</w:t>
            </w:r>
          </w:p>
          <w:p>
            <w:pPr>
              <w:spacing w:after="80"/>
            </w:pPr>
            <w:r>
              <w:t>Say: “Your pants are wet. Pee came out. Let’s get clean and comfortable.” Help Waylon change, invite simple participation, and return to play. Skip lectures, visible disappointment, and punishment.</w:t>
            </w:r>
          </w:p>
        </w:tc>
      </w:tr>
    </w:tbl>
    <w:p>
      <w:pPr>
        <w:spacing w:after="2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440"/>
      </w:tblGrid>
      <w:tr>
        <w:trPr>
          <w:cantSplit/>
        </w:trPr>
        <w:tc>
          <w:tcPr>
            <w:tcW w:type="dxa" w:w="10570"/>
            <w:shd w:fill="DDE7D7"/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pPr>
              <w:pStyle w:val="Heading2"/>
              <w:keepNext/>
            </w:pPr>
            <w:r>
              <w:t>If Waylon resists</w:t>
            </w:r>
          </w:p>
          <w:p>
            <w:pPr>
              <w:ind w:left="173" w:hanging="173"/>
            </w:pPr>
            <w:r>
              <w:rPr>
                <w:b/>
              </w:rPr>
              <w:t xml:space="preserve">• </w:t>
            </w:r>
            <w:r>
              <w:t>Lower the pressure. Offer fewer reminders and make invitations predictable.</w:t>
            </w:r>
          </w:p>
          <w:p>
            <w:pPr>
              <w:ind w:left="173" w:hanging="173"/>
            </w:pPr>
            <w:r>
              <w:rPr>
                <w:b/>
              </w:rPr>
              <w:t xml:space="preserve">• </w:t>
            </w:r>
            <w:r>
              <w:t>Check comfort: cold seat, loud flush, unstable feet, bright lights, echoes, fear of falling, or difficult clothing.</w:t>
            </w:r>
          </w:p>
          <w:p>
            <w:pPr>
              <w:ind w:left="173" w:hanging="173"/>
            </w:pPr>
            <w:r>
              <w:rPr>
                <w:b/>
              </w:rPr>
              <w:t xml:space="preserve">• </w:t>
            </w:r>
            <w:r>
              <w:t>Let him practice one step at a time while fully clothed: enter, sit for one breath, flush from a distance, wash.</w:t>
            </w:r>
          </w:p>
          <w:p>
            <w:pPr>
              <w:ind w:left="173" w:hanging="173"/>
            </w:pPr>
            <w:r>
              <w:rPr>
                <w:b/>
              </w:rPr>
              <w:t xml:space="preserve">• </w:t>
            </w:r>
            <w:r>
              <w:t>If distress grows, pause active practice for several days while keeping calm routines and books available.</w:t>
            </w:r>
          </w:p>
          <w:p>
            <w:pPr>
              <w:ind w:left="173" w:hanging="173"/>
            </w:pPr>
            <w:r>
              <w:rPr>
                <w:b/>
              </w:rPr>
              <w:t xml:space="preserve">• </w:t>
            </w:r>
            <w:r>
              <w:t>Never hold him on the toilet, require a long sit, or withhold affection, food, or play.</w:t>
            </w:r>
          </w:p>
        </w:tc>
      </w:tr>
    </w:tbl>
    <w:p>
      <w:pPr>
        <w:spacing w:after="2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440"/>
      </w:tblGrid>
      <w:tr>
        <w:trPr>
          <w:cantSplit/>
        </w:trPr>
        <w:tc>
          <w:tcPr>
            <w:tcW w:type="dxa" w:w="10570"/>
            <w:shd w:fill="E7B94B"/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pPr>
              <w:pStyle w:val="Heading2"/>
              <w:keepNext/>
            </w:pPr>
            <w:r>
              <w:t>If he hides to poop</w:t>
            </w:r>
          </w:p>
          <w:p>
            <w:pPr>
              <w:spacing w:after="80"/>
            </w:pPr>
            <w:r>
              <w:t>Treat hiding as a body signal, not misbehavior. Calmly name it: “Your body may be getting ready to poop.” Offer privacy and a supported potty choice. Persistent stool withholding can lead to constipation; contact his pediatrician if you are concerned.</w:t>
            </w:r>
          </w:p>
        </w:tc>
      </w:tr>
    </w:tbl>
    <w:p>
      <w:pPr>
        <w:spacing w:after="2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440"/>
      </w:tblGrid>
      <w:tr>
        <w:trPr>
          <w:cantSplit/>
        </w:trPr>
        <w:tc>
          <w:tcPr>
            <w:tcW w:type="dxa" w:w="10570"/>
            <w:shd w:fill="FFF9ED"/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pPr>
              <w:pStyle w:val="Heading2"/>
              <w:keepNext/>
            </w:pPr>
            <w:r>
              <w:t>Reset phrase for grown-ups</w:t>
            </w:r>
          </w:p>
          <w:p>
            <w:pPr>
              <w:spacing w:after="80"/>
            </w:pPr>
            <w:r>
              <w:t>“We are learning. I can stay calm, help with the next step, and try again later.”</w:t>
            </w:r>
          </w:p>
        </w:tc>
      </w:tr>
    </w:tbl>
    <w:p>
      <w:pPr>
        <w:spacing w:after="20"/>
      </w:pPr>
    </w:p>
    <w:p>
      <w:r>
        <w:br w:type="page"/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8352"/>
        <w:gridCol w:w="2088"/>
      </w:tblGrid>
      <w:tr>
        <w:trPr>
          <w:cantSplit/>
        </w:trPr>
        <w:tc>
          <w:tcPr>
            <w:tcW w:type="dxa" w:w="5285"/>
            <w:shd w:fill="FFF9ED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b/>
                <w:color w:val="2D5B4A"/>
                <w:sz w:val="17"/>
              </w:rPr>
              <w:t>WAYLON’S POTTY LEARNING ADVENTURE</w:t>
            </w:r>
          </w:p>
        </w:tc>
        <w:tc>
          <w:tcPr>
            <w:tcW w:type="dxa" w:w="5285"/>
            <w:shd w:fill="FFF9ED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right"/>
            </w:pPr>
            <w:r>
              <w:rPr>
                <w:rFonts w:ascii="Aptos" w:hAnsi="Aptos"/>
                <w:b/>
                <w:color w:val="183A63"/>
                <w:sz w:val="15"/>
              </w:rPr>
              <w:t>OAKBROOK WAY ACADEMY</w:t>
            </w:r>
          </w:p>
        </w:tc>
      </w:tr>
    </w:tbl>
    <w:p>
      <w:pPr>
        <w:pStyle w:val="Heading1"/>
        <w:keepNext/>
      </w:pPr>
      <w:r>
        <w:t>5. Learn Through Play—and Take It With You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440"/>
      </w:tblGrid>
      <w:tr>
        <w:trPr>
          <w:cantSplit/>
        </w:trPr>
        <w:tc>
          <w:tcPr>
            <w:tcW w:type="dxa" w:w="10570"/>
            <w:shd w:fill="DDE7D7"/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pPr>
              <w:pStyle w:val="Heading2"/>
              <w:keepNext/>
            </w:pPr>
            <w:r>
              <w:t>Six five-minute practices</w:t>
            </w:r>
          </w:p>
          <w:p>
            <w:pPr>
              <w:ind w:left="173" w:hanging="173"/>
            </w:pPr>
            <w:r>
              <w:rPr>
                <w:b/>
              </w:rPr>
              <w:t xml:space="preserve">• </w:t>
            </w:r>
            <w:r>
              <w:t>Potty Parade: put the routine cards in order and let Waylon be the leader.</w:t>
            </w:r>
          </w:p>
          <w:p>
            <w:pPr>
              <w:ind w:left="173" w:hanging="173"/>
            </w:pPr>
            <w:r>
              <w:rPr>
                <w:b/>
              </w:rPr>
              <w:t xml:space="preserve">• </w:t>
            </w:r>
            <w:r>
              <w:t>Teddy Takes a Turn: help a stuffed friend sit, wipe, flush, wash, and celebrate.</w:t>
            </w:r>
          </w:p>
          <w:p>
            <w:pPr>
              <w:ind w:left="173" w:hanging="173"/>
            </w:pPr>
            <w:r>
              <w:rPr>
                <w:b/>
              </w:rPr>
              <w:t xml:space="preserve">• </w:t>
            </w:r>
            <w:r>
              <w:t>Pants Practice: while fully clothed, practice down then up with an elastic waist.</w:t>
            </w:r>
          </w:p>
          <w:p>
            <w:pPr>
              <w:ind w:left="173" w:hanging="173"/>
            </w:pPr>
            <w:r>
              <w:rPr>
                <w:b/>
              </w:rPr>
              <w:t xml:space="preserve">• </w:t>
            </w:r>
            <w:r>
              <w:t>Washing Song: use the same short song for scrub, rinse, and dry.</w:t>
            </w:r>
          </w:p>
          <w:p>
            <w:pPr>
              <w:ind w:left="173" w:hanging="173"/>
            </w:pPr>
            <w:r>
              <w:rPr>
                <w:b/>
              </w:rPr>
              <w:t xml:space="preserve">• </w:t>
            </w:r>
            <w:r>
              <w:t>Potty Book Time: reserve one favorite short book for calm sits.</w:t>
            </w:r>
          </w:p>
          <w:p>
            <w:pPr>
              <w:ind w:left="173" w:hanging="173"/>
            </w:pPr>
            <w:r>
              <w:rPr>
                <w:b/>
              </w:rPr>
              <w:t xml:space="preserve">• </w:t>
            </w:r>
            <w:r>
              <w:t>Away-from-Home Tour: find the restroom shortly after arriving—before urgency.</w:t>
            </w:r>
          </w:p>
        </w:tc>
      </w:tr>
    </w:tbl>
    <w:p>
      <w:pPr>
        <w:spacing w:after="2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440"/>
      </w:tblGrid>
      <w:tr>
        <w:trPr>
          <w:cantSplit/>
        </w:trPr>
        <w:tc>
          <w:tcPr>
            <w:tcW w:type="dxa" w:w="10570"/>
            <w:shd w:fill="EAF3F7"/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pPr>
              <w:pStyle w:val="Heading2"/>
              <w:keepNext/>
            </w:pPr>
            <w:r>
              <w:t>Outings</w:t>
            </w:r>
          </w:p>
          <w:p>
            <w:pPr>
              <w:ind w:left="173" w:hanging="173"/>
            </w:pPr>
            <w:r>
              <w:rPr>
                <w:b/>
              </w:rPr>
              <w:t xml:space="preserve">• </w:t>
            </w:r>
            <w:r>
              <w:t>Pack clean clothes, wipes, bags, a familiar card, and a portable seat if helpful.</w:t>
            </w:r>
          </w:p>
          <w:p>
            <w:pPr>
              <w:ind w:left="173" w:hanging="173"/>
            </w:pPr>
            <w:r>
              <w:rPr>
                <w:b/>
              </w:rPr>
              <w:t xml:space="preserve">• </w:t>
            </w:r>
            <w:r>
              <w:t>Preview the plan: “First we find the bathroom. Then we play.”</w:t>
            </w:r>
          </w:p>
          <w:p>
            <w:pPr>
              <w:ind w:left="173" w:hanging="173"/>
            </w:pPr>
            <w:r>
              <w:rPr>
                <w:b/>
              </w:rPr>
              <w:t xml:space="preserve">• </w:t>
            </w:r>
            <w:r>
              <w:t>Offer a calm stop before leaving home and at natural transitions; avoid repeated anxious asking.</w:t>
            </w:r>
          </w:p>
          <w:p>
            <w:pPr>
              <w:ind w:left="173" w:hanging="173"/>
            </w:pPr>
            <w:r>
              <w:rPr>
                <w:b/>
              </w:rPr>
              <w:t xml:space="preserve">• </w:t>
            </w:r>
            <w:r>
              <w:t>Public toilets can be loud. Warn before flushing, cover an automatic sensor if needed, and allow distance.</w:t>
            </w:r>
          </w:p>
        </w:tc>
      </w:tr>
    </w:tbl>
    <w:p>
      <w:pPr>
        <w:spacing w:after="2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440"/>
      </w:tblGrid>
      <w:tr>
        <w:trPr>
          <w:cantSplit/>
        </w:trPr>
        <w:tc>
          <w:tcPr>
            <w:tcW w:type="dxa" w:w="10570"/>
            <w:shd w:fill="E7B94B"/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pPr>
              <w:pStyle w:val="Heading2"/>
              <w:keepNext/>
            </w:pPr>
            <w:r>
              <w:t>Naps and nighttime</w:t>
            </w:r>
          </w:p>
          <w:p>
            <w:pPr>
              <w:spacing w:after="80"/>
            </w:pPr>
            <w:r>
              <w:t>Sleep dryness often develops on a different timeline from daytime learning. Protect sleep and bedding, use neutral language, and avoid treating a wet nap or night as a setback.</w:t>
            </w:r>
          </w:p>
        </w:tc>
      </w:tr>
    </w:tbl>
    <w:p>
      <w:pPr>
        <w:spacing w:after="2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440"/>
      </w:tblGrid>
      <w:tr>
        <w:trPr>
          <w:cantSplit/>
        </w:trPr>
        <w:tc>
          <w:tcPr>
            <w:tcW w:type="dxa" w:w="10570"/>
            <w:shd w:fill="FFF9ED"/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pPr>
              <w:pStyle w:val="Heading2"/>
              <w:keepNext/>
            </w:pPr>
            <w:r>
              <w:t>Caregiver consistency</w:t>
            </w:r>
          </w:p>
          <w:p>
            <w:pPr>
              <w:spacing w:after="80"/>
            </w:pPr>
            <w:r>
              <w:t>Choose the same three phrases, the same routine order, and the same response to accidents. Share observations privately—never discuss Waylon’s accidents where he can feel evaluated.</w:t>
            </w:r>
          </w:p>
        </w:tc>
      </w:tr>
    </w:tbl>
    <w:p>
      <w:pPr>
        <w:spacing w:after="20"/>
      </w:pPr>
    </w:p>
    <w:p>
      <w:r>
        <w:br w:type="page"/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8352"/>
        <w:gridCol w:w="2088"/>
      </w:tblGrid>
      <w:tr>
        <w:trPr>
          <w:cantSplit/>
        </w:trPr>
        <w:tc>
          <w:tcPr>
            <w:tcW w:type="dxa" w:w="5285"/>
            <w:shd w:fill="FFF9ED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b/>
                <w:color w:val="2D5B4A"/>
                <w:sz w:val="17"/>
              </w:rPr>
              <w:t>WAYLON’S POTTY LEARNING ADVENTURE</w:t>
            </w:r>
          </w:p>
        </w:tc>
        <w:tc>
          <w:tcPr>
            <w:tcW w:type="dxa" w:w="5285"/>
            <w:shd w:fill="FFF9ED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right"/>
            </w:pPr>
            <w:r>
              <w:rPr>
                <w:rFonts w:ascii="Aptos" w:hAnsi="Aptos"/>
                <w:b/>
                <w:color w:val="183A63"/>
                <w:sz w:val="15"/>
              </w:rPr>
              <w:t>OAKBROOK WAY ACADEMY</w:t>
            </w:r>
          </w:p>
        </w:tc>
      </w:tr>
    </w:tbl>
    <w:p>
      <w:pPr>
        <w:pStyle w:val="Heading1"/>
        <w:keepNext/>
      </w:pPr>
      <w:r>
        <w:t>6. Comfort, Constipation &amp; When to Call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440"/>
      </w:tblGrid>
      <w:tr>
        <w:trPr>
          <w:cantSplit/>
        </w:trPr>
        <w:tc>
          <w:tcPr>
            <w:tcW w:type="dxa" w:w="10570"/>
            <w:shd w:fill="EAF3F7"/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pPr>
              <w:pStyle w:val="Heading2"/>
              <w:keepNext/>
            </w:pPr>
            <w:r>
              <w:t>Watch for constipation</w:t>
            </w:r>
          </w:p>
          <w:p>
            <w:pPr>
              <w:spacing w:after="80"/>
            </w:pPr>
            <w:r>
              <w:t>Hard, dry, lumpy, difficult, or painful stools—and fewer than two bowel movements a week—can be signs of constipation. Withholding may look like stiffening, tiptoe standing, hiding, or refusing to sit.</w:t>
            </w:r>
          </w:p>
        </w:tc>
      </w:tr>
    </w:tbl>
    <w:p>
      <w:pPr>
        <w:spacing w:after="2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440"/>
      </w:tblGrid>
      <w:tr>
        <w:trPr>
          <w:cantSplit/>
        </w:trPr>
        <w:tc>
          <w:tcPr>
            <w:tcW w:type="dxa" w:w="10570"/>
            <w:shd w:fill="E7B94B"/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pPr>
              <w:pStyle w:val="Heading2"/>
              <w:keepNext/>
            </w:pPr>
            <w:r>
              <w:t>Pause pressure and call the pediatrician</w:t>
            </w:r>
          </w:p>
          <w:p>
            <w:pPr>
              <w:ind w:left="173" w:hanging="173"/>
            </w:pPr>
            <w:r>
              <w:rPr>
                <w:b/>
              </w:rPr>
              <w:t xml:space="preserve">• </w:t>
            </w:r>
            <w:r>
              <w:t>Waylon has pain with pooping, repeated withholding, or constipation that worries you.</w:t>
            </w:r>
          </w:p>
          <w:p>
            <w:pPr>
              <w:ind w:left="173" w:hanging="173"/>
            </w:pPr>
            <w:r>
              <w:rPr>
                <w:b/>
              </w:rPr>
              <w:t xml:space="preserve">• </w:t>
            </w:r>
            <w:r>
              <w:t>Symptoms last more than two weeks or do not improve with home care.</w:t>
            </w:r>
          </w:p>
          <w:p>
            <w:pPr>
              <w:ind w:left="173" w:hanging="173"/>
            </w:pPr>
            <w:r>
              <w:rPr>
                <w:b/>
              </w:rPr>
              <w:t xml:space="preserve">• </w:t>
            </w:r>
            <w:r>
              <w:t>Seek prompt medical care for rectal bleeding or blood in stool, bloating, constant abdominal pain, vomiting, or weight loss.</w:t>
            </w:r>
          </w:p>
          <w:p>
            <w:pPr>
              <w:ind w:left="173" w:hanging="173"/>
            </w:pPr>
            <w:r>
              <w:rPr>
                <w:b/>
              </w:rPr>
              <w:t xml:space="preserve">• </w:t>
            </w:r>
            <w:r>
              <w:t>Ask before using laxatives, suppositories, or enemas. This guide does not replace medical advice.</w:t>
            </w:r>
          </w:p>
        </w:tc>
      </w:tr>
    </w:tbl>
    <w:p>
      <w:pPr>
        <w:spacing w:after="2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440"/>
      </w:tblGrid>
      <w:tr>
        <w:trPr>
          <w:cantSplit/>
        </w:trPr>
        <w:tc>
          <w:tcPr>
            <w:tcW w:type="dxa" w:w="10570"/>
            <w:shd w:fill="DDE7D7"/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pPr>
              <w:pStyle w:val="Heading2"/>
              <w:keepNext/>
            </w:pPr>
            <w:r>
              <w:t>Comfort supports learning</w:t>
            </w:r>
          </w:p>
          <w:p>
            <w:pPr>
              <w:spacing w:after="80"/>
            </w:pPr>
            <w:r>
              <w:t>Offer regular meals and drinks, active play, a relaxed bathroom opportunity after meals, and secure foot support. Do not turn food or fluids into pressure or use treats as the main reward.</w:t>
            </w:r>
          </w:p>
        </w:tc>
      </w:tr>
    </w:tbl>
    <w:p>
      <w:pPr>
        <w:spacing w:after="20"/>
      </w:pPr>
    </w:p>
    <w:p>
      <w:pPr>
        <w:pStyle w:val="Heading2"/>
      </w:pPr>
      <w:r>
        <w:t>Trusted source</w:t>
      </w:r>
    </w:p>
    <w:p>
      <w:pPr>
        <w:spacing w:after="40"/>
      </w:pPr>
      <w:r>
        <w:t>National Institute of Diabetes and Digestive and Kidney Diseases (NIDDK): Constipation in Children</w:t>
      </w:r>
    </w:p>
    <w:p>
      <w:r>
        <w:rPr>
          <w:color w:val="183A63"/>
          <w:sz w:val="20"/>
          <w:u w:val="single"/>
        </w:rPr>
        <w:t>https://www.niddk.nih.gov/health-information/digestive-diseases/constipation-children</w:t>
      </w:r>
    </w:p>
    <w:p>
      <w:r>
        <w:br w:type="page"/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8352"/>
        <w:gridCol w:w="2088"/>
      </w:tblGrid>
      <w:tr>
        <w:trPr>
          <w:cantSplit/>
        </w:trPr>
        <w:tc>
          <w:tcPr>
            <w:tcW w:type="dxa" w:w="5285"/>
            <w:shd w:fill="FFF9ED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b/>
                <w:color w:val="2D5B4A"/>
                <w:sz w:val="17"/>
              </w:rPr>
              <w:t>WAYLON’S POTTY LEARNING ADVENTURE</w:t>
            </w:r>
          </w:p>
        </w:tc>
        <w:tc>
          <w:tcPr>
            <w:tcW w:type="dxa" w:w="5285"/>
            <w:shd w:fill="FFF9ED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right"/>
            </w:pPr>
            <w:r>
              <w:rPr>
                <w:rFonts w:ascii="Aptos" w:hAnsi="Aptos"/>
                <w:b/>
                <w:color w:val="183A63"/>
                <w:sz w:val="15"/>
              </w:rPr>
              <w:t>OAKBROOK WAY ACADEMY</w:t>
            </w:r>
          </w:p>
        </w:tc>
      </w:tr>
    </w:tbl>
    <w:p>
      <w:pPr>
        <w:pStyle w:val="Heading1"/>
        <w:keepNext/>
      </w:pPr>
      <w:r>
        <w:t>7. One-Week Caregiver Notes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440"/>
      </w:tblGrid>
      <w:tr>
        <w:trPr>
          <w:cantSplit/>
        </w:trPr>
        <w:tc>
          <w:tcPr>
            <w:tcW w:type="dxa" w:w="10570"/>
            <w:shd w:fill="DDE7D7"/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pPr>
              <w:pStyle w:val="Heading2"/>
              <w:keepNext/>
            </w:pPr>
            <w:r>
              <w:t>What to notice</w:t>
            </w:r>
          </w:p>
          <w:p>
            <w:pPr>
              <w:spacing w:after="80"/>
            </w:pPr>
            <w:r>
              <w:t>Use this page to find patterns and supports—not to grade Waylon. Record a few neutral observations, then adjust timing or environment together.</w:t>
            </w:r>
          </w:p>
        </w:tc>
      </w:tr>
    </w:tbl>
    <w:p>
      <w:pPr>
        <w:spacing w:after="2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14"/>
        <w:gridCol w:w="2114"/>
        <w:gridCol w:w="2114"/>
        <w:gridCol w:w="2114"/>
        <w:gridCol w:w="2114"/>
      </w:tblGrid>
      <w:tr>
        <w:trPr>
          <w:tblHeader w:val="true"/>
          <w:cantSplit/>
        </w:trPr>
        <w:tc>
          <w:tcPr>
            <w:tcW w:type="dxa" w:w="2114"/>
            <w:shd w:fill="183A63"/>
            <w:tcMar>
              <w:top w:w="80" w:type="dxa"/>
              <w:start w:w="60" w:type="dxa"/>
              <w:bottom w:w="80" w:type="dxa"/>
              <w:end w:w="6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DAY / TIME</w:t>
            </w:r>
          </w:p>
        </w:tc>
        <w:tc>
          <w:tcPr>
            <w:tcW w:type="dxa" w:w="2114"/>
            <w:shd w:fill="183A63"/>
            <w:tcMar>
              <w:top w:w="80" w:type="dxa"/>
              <w:start w:w="60" w:type="dxa"/>
              <w:bottom w:w="80" w:type="dxa"/>
              <w:end w:w="6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BODY SIGNAL</w:t>
            </w:r>
          </w:p>
        </w:tc>
        <w:tc>
          <w:tcPr>
            <w:tcW w:type="dxa" w:w="2114"/>
            <w:shd w:fill="183A63"/>
            <w:tcMar>
              <w:top w:w="80" w:type="dxa"/>
              <w:start w:w="60" w:type="dxa"/>
              <w:bottom w:w="80" w:type="dxa"/>
              <w:end w:w="6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INVITATION</w:t>
            </w:r>
          </w:p>
        </w:tc>
        <w:tc>
          <w:tcPr>
            <w:tcW w:type="dxa" w:w="2114"/>
            <w:shd w:fill="183A63"/>
            <w:tcMar>
              <w:top w:w="80" w:type="dxa"/>
              <w:start w:w="60" w:type="dxa"/>
              <w:bottom w:w="80" w:type="dxa"/>
              <w:end w:w="6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WHAT HELPED</w:t>
            </w:r>
          </w:p>
        </w:tc>
        <w:tc>
          <w:tcPr>
            <w:tcW w:type="dxa" w:w="2114"/>
            <w:shd w:fill="183A63"/>
            <w:tcMar>
              <w:top w:w="80" w:type="dxa"/>
              <w:start w:w="60" w:type="dxa"/>
              <w:bottom w:w="80" w:type="dxa"/>
              <w:end w:w="6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NEXT IDEA</w:t>
            </w:r>
          </w:p>
        </w:tc>
      </w:tr>
      <w:tr>
        <w:trPr>
          <w:cantSplit/>
        </w:trPr>
        <w:tc>
          <w:tcPr>
            <w:tcW w:type="dxa" w:w="2114"/>
            <w:shd w:fill="FFF9ED"/>
            <w:tcMar>
              <w:top w:w="175" w:type="dxa"/>
              <w:start w:w="70" w:type="dxa"/>
              <w:bottom w:w="175" w:type="dxa"/>
              <w:end w:w="70" w:type="dxa"/>
            </w:tcMar>
          </w:tcPr>
          <w:p>
            <w:r>
              <w:t xml:space="preserve"> </w:t>
            </w:r>
          </w:p>
        </w:tc>
        <w:tc>
          <w:tcPr>
            <w:tcW w:type="dxa" w:w="2114"/>
            <w:shd w:fill="FFF9ED"/>
            <w:tcMar>
              <w:top w:w="175" w:type="dxa"/>
              <w:start w:w="70" w:type="dxa"/>
              <w:bottom w:w="175" w:type="dxa"/>
              <w:end w:w="70" w:type="dxa"/>
            </w:tcMar>
          </w:tcPr>
          <w:p>
            <w:r>
              <w:t xml:space="preserve"> </w:t>
            </w:r>
          </w:p>
        </w:tc>
        <w:tc>
          <w:tcPr>
            <w:tcW w:type="dxa" w:w="2114"/>
            <w:shd w:fill="FFF9ED"/>
            <w:tcMar>
              <w:top w:w="175" w:type="dxa"/>
              <w:start w:w="70" w:type="dxa"/>
              <w:bottom w:w="175" w:type="dxa"/>
              <w:end w:w="70" w:type="dxa"/>
            </w:tcMar>
          </w:tcPr>
          <w:p>
            <w:r>
              <w:t xml:space="preserve"> </w:t>
            </w:r>
          </w:p>
        </w:tc>
        <w:tc>
          <w:tcPr>
            <w:tcW w:type="dxa" w:w="2114"/>
            <w:shd w:fill="FFF9ED"/>
            <w:tcMar>
              <w:top w:w="175" w:type="dxa"/>
              <w:start w:w="70" w:type="dxa"/>
              <w:bottom w:w="175" w:type="dxa"/>
              <w:end w:w="70" w:type="dxa"/>
            </w:tcMar>
          </w:tcPr>
          <w:p>
            <w:r>
              <w:t xml:space="preserve"> </w:t>
            </w:r>
          </w:p>
        </w:tc>
        <w:tc>
          <w:tcPr>
            <w:tcW w:type="dxa" w:w="2114"/>
            <w:shd w:fill="FFF9ED"/>
            <w:tcMar>
              <w:top w:w="175" w:type="dxa"/>
              <w:start w:w="70" w:type="dxa"/>
              <w:bottom w:w="175" w:type="dxa"/>
              <w:end w:w="70" w:type="dxa"/>
            </w:tcMar>
          </w:tcPr>
          <w:p>
            <w:r>
              <w:t xml:space="preserve"> </w:t>
            </w:r>
          </w:p>
        </w:tc>
      </w:tr>
      <w:tr>
        <w:trPr>
          <w:cantSplit/>
        </w:trPr>
        <w:tc>
          <w:tcPr>
            <w:tcW w:type="dxa" w:w="2114"/>
            <w:shd w:fill="EAF3F7"/>
            <w:tcMar>
              <w:top w:w="175" w:type="dxa"/>
              <w:start w:w="70" w:type="dxa"/>
              <w:bottom w:w="175" w:type="dxa"/>
              <w:end w:w="70" w:type="dxa"/>
            </w:tcMar>
          </w:tcPr>
          <w:p>
            <w:r>
              <w:t xml:space="preserve"> </w:t>
            </w:r>
          </w:p>
        </w:tc>
        <w:tc>
          <w:tcPr>
            <w:tcW w:type="dxa" w:w="2114"/>
            <w:shd w:fill="EAF3F7"/>
            <w:tcMar>
              <w:top w:w="175" w:type="dxa"/>
              <w:start w:w="70" w:type="dxa"/>
              <w:bottom w:w="175" w:type="dxa"/>
              <w:end w:w="70" w:type="dxa"/>
            </w:tcMar>
          </w:tcPr>
          <w:p>
            <w:r>
              <w:t xml:space="preserve"> </w:t>
            </w:r>
          </w:p>
        </w:tc>
        <w:tc>
          <w:tcPr>
            <w:tcW w:type="dxa" w:w="2114"/>
            <w:shd w:fill="EAF3F7"/>
            <w:tcMar>
              <w:top w:w="175" w:type="dxa"/>
              <w:start w:w="70" w:type="dxa"/>
              <w:bottom w:w="175" w:type="dxa"/>
              <w:end w:w="70" w:type="dxa"/>
            </w:tcMar>
          </w:tcPr>
          <w:p>
            <w:r>
              <w:t xml:space="preserve"> </w:t>
            </w:r>
          </w:p>
        </w:tc>
        <w:tc>
          <w:tcPr>
            <w:tcW w:type="dxa" w:w="2114"/>
            <w:shd w:fill="EAF3F7"/>
            <w:tcMar>
              <w:top w:w="175" w:type="dxa"/>
              <w:start w:w="70" w:type="dxa"/>
              <w:bottom w:w="175" w:type="dxa"/>
              <w:end w:w="70" w:type="dxa"/>
            </w:tcMar>
          </w:tcPr>
          <w:p>
            <w:r>
              <w:t xml:space="preserve"> </w:t>
            </w:r>
          </w:p>
        </w:tc>
        <w:tc>
          <w:tcPr>
            <w:tcW w:type="dxa" w:w="2114"/>
            <w:shd w:fill="EAF3F7"/>
            <w:tcMar>
              <w:top w:w="175" w:type="dxa"/>
              <w:start w:w="70" w:type="dxa"/>
              <w:bottom w:w="175" w:type="dxa"/>
              <w:end w:w="70" w:type="dxa"/>
            </w:tcMar>
          </w:tcPr>
          <w:p>
            <w:r>
              <w:t xml:space="preserve"> </w:t>
            </w:r>
          </w:p>
        </w:tc>
      </w:tr>
      <w:tr>
        <w:trPr>
          <w:cantSplit/>
        </w:trPr>
        <w:tc>
          <w:tcPr>
            <w:tcW w:type="dxa" w:w="2114"/>
            <w:shd w:fill="FFF9ED"/>
            <w:tcMar>
              <w:top w:w="175" w:type="dxa"/>
              <w:start w:w="70" w:type="dxa"/>
              <w:bottom w:w="175" w:type="dxa"/>
              <w:end w:w="70" w:type="dxa"/>
            </w:tcMar>
          </w:tcPr>
          <w:p>
            <w:r>
              <w:t xml:space="preserve"> </w:t>
            </w:r>
          </w:p>
        </w:tc>
        <w:tc>
          <w:tcPr>
            <w:tcW w:type="dxa" w:w="2114"/>
            <w:shd w:fill="FFF9ED"/>
            <w:tcMar>
              <w:top w:w="175" w:type="dxa"/>
              <w:start w:w="70" w:type="dxa"/>
              <w:bottom w:w="175" w:type="dxa"/>
              <w:end w:w="70" w:type="dxa"/>
            </w:tcMar>
          </w:tcPr>
          <w:p>
            <w:r>
              <w:t xml:space="preserve"> </w:t>
            </w:r>
          </w:p>
        </w:tc>
        <w:tc>
          <w:tcPr>
            <w:tcW w:type="dxa" w:w="2114"/>
            <w:shd w:fill="FFF9ED"/>
            <w:tcMar>
              <w:top w:w="175" w:type="dxa"/>
              <w:start w:w="70" w:type="dxa"/>
              <w:bottom w:w="175" w:type="dxa"/>
              <w:end w:w="70" w:type="dxa"/>
            </w:tcMar>
          </w:tcPr>
          <w:p>
            <w:r>
              <w:t xml:space="preserve"> </w:t>
            </w:r>
          </w:p>
        </w:tc>
        <w:tc>
          <w:tcPr>
            <w:tcW w:type="dxa" w:w="2114"/>
            <w:shd w:fill="FFF9ED"/>
            <w:tcMar>
              <w:top w:w="175" w:type="dxa"/>
              <w:start w:w="70" w:type="dxa"/>
              <w:bottom w:w="175" w:type="dxa"/>
              <w:end w:w="70" w:type="dxa"/>
            </w:tcMar>
          </w:tcPr>
          <w:p>
            <w:r>
              <w:t xml:space="preserve"> </w:t>
            </w:r>
          </w:p>
        </w:tc>
        <w:tc>
          <w:tcPr>
            <w:tcW w:type="dxa" w:w="2114"/>
            <w:shd w:fill="FFF9ED"/>
            <w:tcMar>
              <w:top w:w="175" w:type="dxa"/>
              <w:start w:w="70" w:type="dxa"/>
              <w:bottom w:w="175" w:type="dxa"/>
              <w:end w:w="70" w:type="dxa"/>
            </w:tcMar>
          </w:tcPr>
          <w:p>
            <w:r>
              <w:t xml:space="preserve"> </w:t>
            </w:r>
          </w:p>
        </w:tc>
      </w:tr>
      <w:tr>
        <w:trPr>
          <w:cantSplit/>
        </w:trPr>
        <w:tc>
          <w:tcPr>
            <w:tcW w:type="dxa" w:w="2114"/>
            <w:shd w:fill="EAF3F7"/>
            <w:tcMar>
              <w:top w:w="175" w:type="dxa"/>
              <w:start w:w="70" w:type="dxa"/>
              <w:bottom w:w="175" w:type="dxa"/>
              <w:end w:w="70" w:type="dxa"/>
            </w:tcMar>
          </w:tcPr>
          <w:p>
            <w:r>
              <w:t xml:space="preserve"> </w:t>
            </w:r>
          </w:p>
        </w:tc>
        <w:tc>
          <w:tcPr>
            <w:tcW w:type="dxa" w:w="2114"/>
            <w:shd w:fill="EAF3F7"/>
            <w:tcMar>
              <w:top w:w="175" w:type="dxa"/>
              <w:start w:w="70" w:type="dxa"/>
              <w:bottom w:w="175" w:type="dxa"/>
              <w:end w:w="70" w:type="dxa"/>
            </w:tcMar>
          </w:tcPr>
          <w:p>
            <w:r>
              <w:t xml:space="preserve"> </w:t>
            </w:r>
          </w:p>
        </w:tc>
        <w:tc>
          <w:tcPr>
            <w:tcW w:type="dxa" w:w="2114"/>
            <w:shd w:fill="EAF3F7"/>
            <w:tcMar>
              <w:top w:w="175" w:type="dxa"/>
              <w:start w:w="70" w:type="dxa"/>
              <w:bottom w:w="175" w:type="dxa"/>
              <w:end w:w="70" w:type="dxa"/>
            </w:tcMar>
          </w:tcPr>
          <w:p>
            <w:r>
              <w:t xml:space="preserve"> </w:t>
            </w:r>
          </w:p>
        </w:tc>
        <w:tc>
          <w:tcPr>
            <w:tcW w:type="dxa" w:w="2114"/>
            <w:shd w:fill="EAF3F7"/>
            <w:tcMar>
              <w:top w:w="175" w:type="dxa"/>
              <w:start w:w="70" w:type="dxa"/>
              <w:bottom w:w="175" w:type="dxa"/>
              <w:end w:w="70" w:type="dxa"/>
            </w:tcMar>
          </w:tcPr>
          <w:p>
            <w:r>
              <w:t xml:space="preserve"> </w:t>
            </w:r>
          </w:p>
        </w:tc>
        <w:tc>
          <w:tcPr>
            <w:tcW w:type="dxa" w:w="2114"/>
            <w:shd w:fill="EAF3F7"/>
            <w:tcMar>
              <w:top w:w="175" w:type="dxa"/>
              <w:start w:w="70" w:type="dxa"/>
              <w:bottom w:w="175" w:type="dxa"/>
              <w:end w:w="70" w:type="dxa"/>
            </w:tcMar>
          </w:tcPr>
          <w:p>
            <w:r>
              <w:t xml:space="preserve"> </w:t>
            </w:r>
          </w:p>
        </w:tc>
      </w:tr>
      <w:tr>
        <w:trPr>
          <w:cantSplit/>
        </w:trPr>
        <w:tc>
          <w:tcPr>
            <w:tcW w:type="dxa" w:w="2114"/>
            <w:shd w:fill="FFF9ED"/>
            <w:tcMar>
              <w:top w:w="175" w:type="dxa"/>
              <w:start w:w="70" w:type="dxa"/>
              <w:bottom w:w="175" w:type="dxa"/>
              <w:end w:w="70" w:type="dxa"/>
            </w:tcMar>
          </w:tcPr>
          <w:p>
            <w:r>
              <w:t xml:space="preserve"> </w:t>
            </w:r>
          </w:p>
        </w:tc>
        <w:tc>
          <w:tcPr>
            <w:tcW w:type="dxa" w:w="2114"/>
            <w:shd w:fill="FFF9ED"/>
            <w:tcMar>
              <w:top w:w="175" w:type="dxa"/>
              <w:start w:w="70" w:type="dxa"/>
              <w:bottom w:w="175" w:type="dxa"/>
              <w:end w:w="70" w:type="dxa"/>
            </w:tcMar>
          </w:tcPr>
          <w:p>
            <w:r>
              <w:t xml:space="preserve"> </w:t>
            </w:r>
          </w:p>
        </w:tc>
        <w:tc>
          <w:tcPr>
            <w:tcW w:type="dxa" w:w="2114"/>
            <w:shd w:fill="FFF9ED"/>
            <w:tcMar>
              <w:top w:w="175" w:type="dxa"/>
              <w:start w:w="70" w:type="dxa"/>
              <w:bottom w:w="175" w:type="dxa"/>
              <w:end w:w="70" w:type="dxa"/>
            </w:tcMar>
          </w:tcPr>
          <w:p>
            <w:r>
              <w:t xml:space="preserve"> </w:t>
            </w:r>
          </w:p>
        </w:tc>
        <w:tc>
          <w:tcPr>
            <w:tcW w:type="dxa" w:w="2114"/>
            <w:shd w:fill="FFF9ED"/>
            <w:tcMar>
              <w:top w:w="175" w:type="dxa"/>
              <w:start w:w="70" w:type="dxa"/>
              <w:bottom w:w="175" w:type="dxa"/>
              <w:end w:w="70" w:type="dxa"/>
            </w:tcMar>
          </w:tcPr>
          <w:p>
            <w:r>
              <w:t xml:space="preserve"> </w:t>
            </w:r>
          </w:p>
        </w:tc>
        <w:tc>
          <w:tcPr>
            <w:tcW w:type="dxa" w:w="2114"/>
            <w:shd w:fill="FFF9ED"/>
            <w:tcMar>
              <w:top w:w="175" w:type="dxa"/>
              <w:start w:w="70" w:type="dxa"/>
              <w:bottom w:w="175" w:type="dxa"/>
              <w:end w:w="70" w:type="dxa"/>
            </w:tcMar>
          </w:tcPr>
          <w:p>
            <w:r>
              <w:t xml:space="preserve"> </w:t>
            </w:r>
          </w:p>
        </w:tc>
      </w:tr>
      <w:tr>
        <w:trPr>
          <w:cantSplit/>
        </w:trPr>
        <w:tc>
          <w:tcPr>
            <w:tcW w:type="dxa" w:w="2114"/>
            <w:shd w:fill="EAF3F7"/>
            <w:tcMar>
              <w:top w:w="175" w:type="dxa"/>
              <w:start w:w="70" w:type="dxa"/>
              <w:bottom w:w="175" w:type="dxa"/>
              <w:end w:w="70" w:type="dxa"/>
            </w:tcMar>
          </w:tcPr>
          <w:p>
            <w:r>
              <w:t xml:space="preserve"> </w:t>
            </w:r>
          </w:p>
        </w:tc>
        <w:tc>
          <w:tcPr>
            <w:tcW w:type="dxa" w:w="2114"/>
            <w:shd w:fill="EAF3F7"/>
            <w:tcMar>
              <w:top w:w="175" w:type="dxa"/>
              <w:start w:w="70" w:type="dxa"/>
              <w:bottom w:w="175" w:type="dxa"/>
              <w:end w:w="70" w:type="dxa"/>
            </w:tcMar>
          </w:tcPr>
          <w:p>
            <w:r>
              <w:t xml:space="preserve"> </w:t>
            </w:r>
          </w:p>
        </w:tc>
        <w:tc>
          <w:tcPr>
            <w:tcW w:type="dxa" w:w="2114"/>
            <w:shd w:fill="EAF3F7"/>
            <w:tcMar>
              <w:top w:w="175" w:type="dxa"/>
              <w:start w:w="70" w:type="dxa"/>
              <w:bottom w:w="175" w:type="dxa"/>
              <w:end w:w="70" w:type="dxa"/>
            </w:tcMar>
          </w:tcPr>
          <w:p>
            <w:r>
              <w:t xml:space="preserve"> </w:t>
            </w:r>
          </w:p>
        </w:tc>
        <w:tc>
          <w:tcPr>
            <w:tcW w:type="dxa" w:w="2114"/>
            <w:shd w:fill="EAF3F7"/>
            <w:tcMar>
              <w:top w:w="175" w:type="dxa"/>
              <w:start w:w="70" w:type="dxa"/>
              <w:bottom w:w="175" w:type="dxa"/>
              <w:end w:w="70" w:type="dxa"/>
            </w:tcMar>
          </w:tcPr>
          <w:p>
            <w:r>
              <w:t xml:space="preserve"> </w:t>
            </w:r>
          </w:p>
        </w:tc>
        <w:tc>
          <w:tcPr>
            <w:tcW w:type="dxa" w:w="2114"/>
            <w:shd w:fill="EAF3F7"/>
            <w:tcMar>
              <w:top w:w="175" w:type="dxa"/>
              <w:start w:w="70" w:type="dxa"/>
              <w:bottom w:w="175" w:type="dxa"/>
              <w:end w:w="70" w:type="dxa"/>
            </w:tcMar>
          </w:tcPr>
          <w:p>
            <w:r>
              <w:t xml:space="preserve"> </w:t>
            </w:r>
          </w:p>
        </w:tc>
      </w:tr>
      <w:tr>
        <w:trPr>
          <w:cantSplit/>
        </w:trPr>
        <w:tc>
          <w:tcPr>
            <w:tcW w:type="dxa" w:w="2114"/>
            <w:shd w:fill="FFF9ED"/>
            <w:tcMar>
              <w:top w:w="175" w:type="dxa"/>
              <w:start w:w="70" w:type="dxa"/>
              <w:bottom w:w="175" w:type="dxa"/>
              <w:end w:w="70" w:type="dxa"/>
            </w:tcMar>
          </w:tcPr>
          <w:p>
            <w:r>
              <w:t xml:space="preserve"> </w:t>
            </w:r>
          </w:p>
        </w:tc>
        <w:tc>
          <w:tcPr>
            <w:tcW w:type="dxa" w:w="2114"/>
            <w:shd w:fill="FFF9ED"/>
            <w:tcMar>
              <w:top w:w="175" w:type="dxa"/>
              <w:start w:w="70" w:type="dxa"/>
              <w:bottom w:w="175" w:type="dxa"/>
              <w:end w:w="70" w:type="dxa"/>
            </w:tcMar>
          </w:tcPr>
          <w:p>
            <w:r>
              <w:t xml:space="preserve"> </w:t>
            </w:r>
          </w:p>
        </w:tc>
        <w:tc>
          <w:tcPr>
            <w:tcW w:type="dxa" w:w="2114"/>
            <w:shd w:fill="FFF9ED"/>
            <w:tcMar>
              <w:top w:w="175" w:type="dxa"/>
              <w:start w:w="70" w:type="dxa"/>
              <w:bottom w:w="175" w:type="dxa"/>
              <w:end w:w="70" w:type="dxa"/>
            </w:tcMar>
          </w:tcPr>
          <w:p>
            <w:r>
              <w:t xml:space="preserve"> </w:t>
            </w:r>
          </w:p>
        </w:tc>
        <w:tc>
          <w:tcPr>
            <w:tcW w:type="dxa" w:w="2114"/>
            <w:shd w:fill="FFF9ED"/>
            <w:tcMar>
              <w:top w:w="175" w:type="dxa"/>
              <w:start w:w="70" w:type="dxa"/>
              <w:bottom w:w="175" w:type="dxa"/>
              <w:end w:w="70" w:type="dxa"/>
            </w:tcMar>
          </w:tcPr>
          <w:p>
            <w:r>
              <w:t xml:space="preserve"> </w:t>
            </w:r>
          </w:p>
        </w:tc>
        <w:tc>
          <w:tcPr>
            <w:tcW w:type="dxa" w:w="2114"/>
            <w:shd w:fill="FFF9ED"/>
            <w:tcMar>
              <w:top w:w="175" w:type="dxa"/>
              <w:start w:w="70" w:type="dxa"/>
              <w:bottom w:w="175" w:type="dxa"/>
              <w:end w:w="70" w:type="dxa"/>
            </w:tcMar>
          </w:tcPr>
          <w:p>
            <w:r>
              <w:t xml:space="preserve"> 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440"/>
      </w:tblGrid>
      <w:tr>
        <w:trPr>
          <w:cantSplit/>
        </w:trPr>
        <w:tc>
          <w:tcPr>
            <w:tcW w:type="dxa" w:w="10570"/>
            <w:shd w:fill="E7B94B"/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pPr>
              <w:pStyle w:val="Heading2"/>
              <w:keepNext/>
            </w:pPr>
            <w:r>
              <w:t>Weekly reflection</w:t>
            </w:r>
          </w:p>
          <w:p>
            <w:pPr>
              <w:spacing w:after="80"/>
            </w:pPr>
            <w:r>
              <w:t>Which signal appeared first? Which time of day felt easiest? Which phrase or support helped? What is one small adjustment every caregiver will use next week?</w:t>
            </w:r>
          </w:p>
        </w:tc>
      </w:tr>
    </w:tbl>
    <w:p>
      <w:pPr>
        <w:spacing w:after="2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440"/>
      </w:tblGrid>
      <w:tr>
        <w:trPr>
          <w:cantSplit/>
        </w:trPr>
        <w:tc>
          <w:tcPr>
            <w:tcW w:type="dxa" w:w="10570"/>
            <w:shd w:fill="FFF9ED"/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pPr>
              <w:pStyle w:val="Heading2"/>
              <w:keepNext/>
            </w:pPr>
            <w:r>
              <w:t>Remember</w:t>
            </w:r>
          </w:p>
          <w:p>
            <w:pPr>
              <w:spacing w:after="80"/>
            </w:pPr>
            <w:r>
              <w:t>Waylon is not giving anyone a hard time—he is learning a complex body skill. Connection, comfort, repetition, and time are the curriculum.</w:t>
            </w:r>
          </w:p>
        </w:tc>
      </w:tr>
    </w:tbl>
    <w:p>
      <w:pPr>
        <w:spacing w:after="20"/>
      </w:pPr>
    </w:p>
    <w:sectPr w:rsidR="00FC693F" w:rsidRPr="0006063C" w:rsidSect="00034616">
      <w:footerReference w:type="default" r:id="rId9"/>
      <w:pgSz w:w="12240" w:h="15840"/>
      <w:pgMar w:top="691" w:right="835" w:bottom="691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color w:val="2D5B4A"/>
        <w:sz w:val="16"/>
      </w:rPr>
      <w:t>OakBrook Way Academy  •  Waylon’s Potty Learning Adventure  •  Shame-free, child-led practice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ptos" w:hAnsi="Aptos"/>
      <w:color w:val="183A63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80" w:after="140"/>
      <w:outlineLvl w:val="0"/>
    </w:pPr>
    <w:rPr>
      <w:rFonts w:asciiTheme="majorHAnsi" w:eastAsiaTheme="majorEastAsia" w:hAnsiTheme="majorHAnsi" w:cstheme="majorBidi" w:ascii="Bookman Old Style" w:hAnsi="Bookman Old Style"/>
      <w:b/>
      <w:bCs/>
      <w:color w:val="183A63"/>
      <w:sz w:val="4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80" w:after="140"/>
      <w:outlineLvl w:val="1"/>
    </w:pPr>
    <w:rPr>
      <w:rFonts w:asciiTheme="majorHAnsi" w:eastAsiaTheme="majorEastAsia" w:hAnsiTheme="majorHAnsi" w:cstheme="majorBidi" w:ascii="Bookman Old Style" w:hAnsi="Bookman Old Style"/>
      <w:b/>
      <w:bCs/>
      <w:color w:val="2D5B4A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80" w:after="140"/>
      <w:outlineLvl w:val="2"/>
    </w:pPr>
    <w:rPr>
      <w:rFonts w:asciiTheme="majorHAnsi" w:eastAsiaTheme="majorEastAsia" w:hAnsiTheme="majorHAnsi" w:cstheme="majorBidi" w:ascii="Bookman Old Style" w:hAnsi="Bookman Old Style"/>
      <w:b/>
      <w:bCs/>
      <w:color w:val="183A63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40" w:line="240" w:lineRule="auto" w:before="80"/>
      <w:contextualSpacing/>
    </w:pPr>
    <w:rPr>
      <w:rFonts w:asciiTheme="majorHAnsi" w:eastAsiaTheme="majorEastAsia" w:hAnsiTheme="majorHAnsi" w:cstheme="majorBidi" w:ascii="Bookman Old Style" w:hAnsi="Bookman Old Style"/>
      <w:b/>
      <w:color w:val="183A63"/>
      <w:spacing w:val="5"/>
      <w:kern w:val="28"/>
      <w:sz w:val="6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Waylon’s Potty Learning Caregiver Guide and Practice Plan</dc:title>
  <dc:subject>Shame-free potty learning support for caregivers</dc:subject>
  <dc:creator>OakBrook Way Academy</dc:creator>
  <cp:keywords>potty learning, toddler, caregiver guide, Waylon, OakBrook Way Academy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