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dxa" w:w="9993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0166"/>
      </w:tblGrid>
      <w:tr>
        <w:tc>
          <w:tcPr>
            <w:tcW w:type="dxa" w:w="9994"/>
            <w:vAlign w:val="center"/>
            <w:tcMar>
              <w:top w:w="150" w:type="dxa"/>
              <w:start w:w="190" w:type="dxa"/>
              <w:bottom w:w="150" w:type="dxa"/>
              <w:end w:w="190" w:type="dxa"/>
            </w:tcMar>
            <w:shd w:fill="23364D"/>
          </w:tcPr>
          <w:p>
            <w:pPr>
              <w:spacing w:after="60"/>
            </w:pPr>
            <w:r>
              <w:rPr>
                <w:rFonts w:ascii="Montserrat" w:hAnsi="Montserrat"/>
                <w:b/>
                <w:color w:val="C8A96B"/>
                <w:sz w:val="17"/>
              </w:rPr>
              <w:t>PRESENTER GUIDE FOR CODY (DAD)</w:t>
            </w:r>
          </w:p>
          <w:p>
            <w:pPr>
              <w:spacing w:after="60"/>
            </w:pPr>
            <w:r>
              <w:rPr>
                <w:rFonts w:ascii="Fraunces" w:hAnsi="Fraunces"/>
                <w:b/>
                <w:color w:val="FFFFFF"/>
                <w:sz w:val="48"/>
              </w:rPr>
              <w:t>What Makes a Community?</w:t>
            </w:r>
          </w:p>
          <w:p>
            <w:pPr>
              <w:spacing w:after="0"/>
            </w:pPr>
            <w:r>
              <w:rPr>
                <w:rFonts w:ascii="Montserrat" w:hAnsi="Montserrat"/>
                <w:color w:val="EEF2EC"/>
                <w:sz w:val="21"/>
              </w:rPr>
              <w:t>A screen-by-screen class flow for the live Chalkie Teach link</w:t>
            </w:r>
          </w:p>
        </w:tc>
      </w:tr>
    </w:tbl>
    <w:p>
      <w:pPr>
        <w:spacing w:after="100"/>
      </w:pPr>
    </w:p>
    <w:tbl>
      <w:tblPr>
        <w:tblStyle w:val="TableGrid"/>
        <w:tblW w:type="dxa" w:w="9993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389"/>
        <w:gridCol w:w="3389"/>
        <w:gridCol w:w="3389"/>
      </w:tblGrid>
      <w:tr>
        <w:tc>
          <w:tcPr>
            <w:tcW w:type="dxa" w:w="3331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71806F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40–45 MINUTES</w:t>
            </w:r>
          </w:p>
        </w:tc>
        <w:tc>
          <w:tcPr>
            <w:tcW w:type="dxa" w:w="3331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71806F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SLIDES 1–11</w:t>
            </w:r>
          </w:p>
        </w:tc>
        <w:tc>
          <w:tcPr>
            <w:tcW w:type="dxa" w:w="3331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71806F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TEACH + PRINT</w:t>
            </w:r>
          </w:p>
        </w:tc>
      </w:tr>
    </w:tbl>
    <w:tbl>
      <w:tblPr>
        <w:tblStyle w:val="TableGrid"/>
        <w:tblW w:type="dxa" w:w="9993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0166"/>
      </w:tblGrid>
      <w:tr>
        <w:tc>
          <w:tcPr>
            <w:tcW w:type="dxa" w:w="9994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  <w:shd w:fill="EEF2EC"/>
          </w:tcPr>
          <w:p>
            <w:r>
              <w:rPr>
                <w:b/>
                <w:color w:val="23364D"/>
              </w:rPr>
              <w:t xml:space="preserve">TODAY'S ROUTE  </w:t>
            </w:r>
            <w:r>
              <w:t>Open the Teach link, present slides 1–11, then complete the printable community web. Plan for 40–45 minutes.</w:t>
            </w:r>
          </w:p>
        </w:tc>
      </w:tr>
    </w:tbl>
    <w:p>
      <w:pPr>
        <w:spacing w:after="0"/>
      </w:pPr>
    </w:p>
    <w:p>
      <w:r>
        <w:rPr>
          <w:b/>
        </w:rPr>
        <w:t xml:space="preserve">Teach link: </w:t>
      </w:r>
      <w:hyperlink r:id="rId11">
        <w:r>
          <w:rPr>
            <w:color w:val="20689B"/>
            <w:u w:val="single"/>
          </w:rPr>
          <w:t>Open the Week 1 Chalkie lesson</w:t>
        </w:r>
      </w:hyperlink>
      <w:r>
        <w:t xml:space="preserve">  (Use this presentation—not an exported PowerPoint.)</w:t>
      </w:r>
    </w:p>
    <w:p>
      <w:pPr>
        <w:pStyle w:val="Heading1"/>
      </w:pPr>
      <w:r>
        <w:t>Before Oaklynn and Brooksley sit down</w:t>
      </w:r>
    </w:p>
    <w:p>
      <w:pPr>
        <w:spacing w:after="60"/>
        <w:ind w:left="230"/>
      </w:pPr>
      <w:r>
        <w:rPr>
          <w:color w:val="23364D"/>
          <w:sz w:val="18"/>
        </w:rPr>
        <w:t>Open the link and confirm Slide 1 says “What Is a Community?”</w:t>
      </w:r>
    </w:p>
    <w:p>
      <w:pPr>
        <w:spacing w:after="60"/>
        <w:ind w:left="230"/>
      </w:pPr>
      <w:r>
        <w:rPr>
          <w:color w:val="23364D"/>
          <w:sz w:val="18"/>
        </w:rPr>
        <w:t>Set out the My Community Connections packet, pencils, crayons, and Oaklynn’s portfolio binder.</w:t>
      </w:r>
    </w:p>
    <w:p>
      <w:pPr>
        <w:spacing w:after="60"/>
        <w:ind w:left="230"/>
      </w:pPr>
      <w:r>
        <w:rPr>
          <w:color w:val="23364D"/>
          <w:sz w:val="18"/>
        </w:rPr>
        <w:t>Use Present/Teach view. Advance one screen at a time; let the girls answer before revealing or confirming.</w:t>
      </w:r>
    </w:p>
    <w:p>
      <w:pPr>
        <w:spacing w:after="60"/>
        <w:ind w:left="230"/>
      </w:pPr>
      <w:r>
        <w:rPr>
          <w:color w:val="23364D"/>
          <w:sz w:val="18"/>
        </w:rPr>
        <w:t>If Teach 2 Learn already covered the definition, shorten Slides 2, 5, and 6 and spend more time on Kendall and the community web.</w:t>
      </w:r>
    </w:p>
    <w:p>
      <w:pPr>
        <w:pStyle w:val="Heading1"/>
      </w:pPr>
      <w:r>
        <w:t>Learning goal</w:t>
      </w:r>
    </w:p>
    <w:tbl>
      <w:tblPr>
        <w:tblStyle w:val="TableGrid"/>
        <w:tblW w:type="dxa" w:w="9993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0166"/>
      </w:tblGrid>
      <w:tr>
        <w:tc>
          <w:tcPr>
            <w:tcW w:type="dxa" w:w="9994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  <w:shd w:fill="EDF1F4"/>
          </w:tcPr>
          <w:p>
            <w:r>
              <w:rPr>
                <w:b/>
                <w:color w:val="23364D"/>
              </w:rPr>
              <w:t xml:space="preserve">I CAN  </w:t>
            </w:r>
            <w:r>
              <w:t>I can explain what a community is and name people, places, and services that help.</w:t>
            </w:r>
          </w:p>
        </w:tc>
      </w:tr>
    </w:tbl>
    <w:p>
      <w:pPr>
        <w:spacing w:after="0"/>
      </w:pPr>
    </w:p>
    <w:p>
      <w:pPr>
        <w:pStyle w:val="Heading1"/>
      </w:pPr>
      <w:r>
        <w:t>What counts as success</w:t>
      </w:r>
    </w:p>
    <w:p>
      <w:pPr>
        <w:spacing w:after="60"/>
        <w:ind w:left="230"/>
      </w:pPr>
      <w:r>
        <w:rPr>
          <w:color w:val="23364D"/>
          <w:sz w:val="18"/>
        </w:rPr>
        <w:t>Oaklynn (Grade 2): explains community, sorts examples, and completes the community web connecting Home, OakBrook Way Academy, Teach 2 Learn, Neighborhood, Kendall, and another community. Save the web in her portfolio.</w:t>
      </w:r>
    </w:p>
    <w:p>
      <w:pPr>
        <w:spacing w:after="60"/>
        <w:ind w:left="230"/>
      </w:pPr>
      <w:r>
        <w:rPr>
          <w:color w:val="23364D"/>
          <w:sz w:val="18"/>
        </w:rPr>
        <w:t>Brooksley (Kindergarten): participates informally by pointing, naming, matching, drawing, acting, or helping. She does not need Grade 2 written evidence.</w:t>
      </w:r>
    </w:p>
    <w:p>
      <w:pPr>
        <w:pStyle w:val="Heading1"/>
      </w:pPr>
      <w:r>
        <w:t>Opening words</w:t>
      </w:r>
    </w:p>
    <w:tbl>
      <w:tblPr>
        <w:tblStyle w:val="TableGrid"/>
        <w:tblW w:type="dxa" w:w="9993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0166"/>
      </w:tblGrid>
      <w:tr>
        <w:tc>
          <w:tcPr>
            <w:tcW w:type="dxa" w:w="9994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  <w:shd w:fill="FFF8E8"/>
          </w:tcPr>
          <w:p>
            <w:r>
              <w:rPr>
                <w:b/>
                <w:color w:val="23364D"/>
              </w:rPr>
              <w:t xml:space="preserve">SAY  </w:t>
            </w:r>
            <w:r>
              <w:t>“Today we are community detectives. We will look for the people, places, and services that help a town work together.”</w:t>
            </w:r>
          </w:p>
        </w:tc>
      </w:tr>
    </w:tbl>
    <w:p>
      <w:pPr>
        <w:spacing w:after="0"/>
      </w:pPr>
    </w:p>
    <w:p>
      <w:r>
        <w:br w:type="page"/>
      </w:r>
    </w:p>
    <w:tbl>
      <w:tblPr>
        <w:tblStyle w:val="TableGrid"/>
        <w:tblW w:type="dxa" w:w="9993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0166"/>
      </w:tblGrid>
      <w:tr>
        <w:tc>
          <w:tcPr>
            <w:tcW w:type="dxa" w:w="9994"/>
            <w:vAlign w:val="center"/>
            <w:tcMar>
              <w:top w:w="150" w:type="dxa"/>
              <w:start w:w="190" w:type="dxa"/>
              <w:bottom w:w="150" w:type="dxa"/>
              <w:end w:w="190" w:type="dxa"/>
            </w:tcMar>
            <w:shd w:fill="23364D"/>
          </w:tcPr>
          <w:p>
            <w:pPr>
              <w:spacing w:after="60"/>
            </w:pPr>
            <w:r>
              <w:rPr>
                <w:rFonts w:ascii="Montserrat" w:hAnsi="Montserrat"/>
                <w:b/>
                <w:color w:val="C8A96B"/>
                <w:sz w:val="17"/>
              </w:rPr>
              <w:t>SLIDES 1–4</w:t>
            </w:r>
          </w:p>
          <w:p>
            <w:pPr>
              <w:spacing w:after="60"/>
            </w:pPr>
            <w:r>
              <w:rPr>
                <w:rFonts w:ascii="Fraunces" w:hAnsi="Fraunces"/>
                <w:b/>
                <w:color w:val="FFFFFF"/>
                <w:sz w:val="48"/>
              </w:rPr>
              <w:t>Open, Define, Notice</w:t>
            </w:r>
          </w:p>
          <w:p>
            <w:pPr>
              <w:spacing w:after="0"/>
            </w:pPr>
            <w:r>
              <w:rPr>
                <w:rFonts w:ascii="Montserrat" w:hAnsi="Montserrat"/>
                <w:color w:val="EEF2EC"/>
                <w:sz w:val="21"/>
              </w:rPr>
              <w:t>About 10 minutes • Keep answers conversational</w:t>
            </w:r>
          </w:p>
        </w:tc>
      </w:tr>
    </w:tbl>
    <w:p>
      <w:pPr>
        <w:spacing w:after="40"/>
      </w:pPr>
    </w:p>
    <w:tbl>
      <w:tblPr>
        <w:tblStyle w:val="TableGrid"/>
        <w:tblW w:type="dxa" w:w="9993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5083"/>
        <w:gridCol w:w="5083"/>
      </w:tblGrid>
      <w:tr>
        <w:tc>
          <w:tcPr>
            <w:tcW w:type="dxa" w:w="893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  <w:shd w:fill="23364D"/>
          </w:tcPr>
          <w:p>
            <w:pPr>
              <w:jc w:val="center"/>
            </w:pPr>
            <w:r>
              <w:rPr>
                <w:b/>
                <w:color w:val="FFFFFF"/>
                <w:sz w:val="32"/>
              </w:rPr>
              <w:t>1</w:t>
            </w:r>
          </w:p>
        </w:tc>
        <w:tc>
          <w:tcPr>
            <w:tcW w:type="dxa" w:w="9101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  <w:shd w:fill="F7F8F6"/>
          </w:tcPr>
          <w:p>
            <w:r>
              <w:rPr>
                <w:b/>
                <w:color w:val="23364D"/>
                <w:sz w:val="20"/>
              </w:rPr>
              <w:t>What Is a Community?  •  1 min</w:t>
            </w:r>
          </w:p>
          <w:p>
            <w:pPr>
              <w:spacing w:after="40"/>
            </w:pPr>
            <w:r>
              <w:rPr>
                <w:b/>
                <w:color w:val="71806F"/>
                <w:sz w:val="17"/>
              </w:rPr>
              <w:t xml:space="preserve">SAY  </w:t>
            </w:r>
            <w:r>
              <w:rPr>
                <w:sz w:val="17"/>
              </w:rPr>
              <w:t>“Today you will discover what makes a community.”</w:t>
            </w:r>
          </w:p>
          <w:p>
            <w:pPr>
              <w:spacing w:after="40"/>
            </w:pPr>
            <w:r>
              <w:rPr>
                <w:b/>
                <w:color w:val="71806F"/>
                <w:sz w:val="17"/>
              </w:rPr>
              <w:t xml:space="preserve">DO  </w:t>
            </w:r>
            <w:r>
              <w:rPr>
                <w:sz w:val="17"/>
              </w:rPr>
              <w:t>Read the title. Ask each child to name one group she belongs to.</w:t>
            </w:r>
          </w:p>
          <w:p>
            <w:pPr>
              <w:spacing w:after="0"/>
            </w:pPr>
            <w:r>
              <w:rPr>
                <w:b/>
                <w:color w:val="C8A96B"/>
                <w:sz w:val="17"/>
              </w:rPr>
              <w:t xml:space="preserve">ANSWER / LOOK FOR  </w:t>
            </w:r>
            <w:r>
              <w:rPr>
                <w:sz w:val="17"/>
              </w:rPr>
              <w:t>Home, school, church, team, town, or another shared group all work.</w:t>
            </w:r>
          </w:p>
        </w:tc>
      </w:tr>
    </w:tbl>
    <w:tbl>
      <w:tblPr>
        <w:tblStyle w:val="TableGrid"/>
        <w:tblW w:type="dxa" w:w="9993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5083"/>
        <w:gridCol w:w="5083"/>
      </w:tblGrid>
      <w:tr>
        <w:tc>
          <w:tcPr>
            <w:tcW w:type="dxa" w:w="893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  <w:shd w:fill="23364D"/>
          </w:tcPr>
          <w:p>
            <w:pPr>
              <w:jc w:val="center"/>
            </w:pPr>
            <w:r>
              <w:rPr>
                <w:b/>
                <w:color w:val="FFFFFF"/>
                <w:sz w:val="32"/>
              </w:rPr>
              <w:t>2</w:t>
            </w:r>
          </w:p>
        </w:tc>
        <w:tc>
          <w:tcPr>
            <w:tcW w:type="dxa" w:w="9101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  <w:shd w:fill="F7F8F6"/>
          </w:tcPr>
          <w:p>
            <w:r>
              <w:rPr>
                <w:b/>
                <w:color w:val="23364D"/>
                <w:sz w:val="20"/>
              </w:rPr>
              <w:t>What Is a Community?  •  3 min</w:t>
            </w:r>
          </w:p>
          <w:p>
            <w:pPr>
              <w:spacing w:after="40"/>
            </w:pPr>
            <w:r>
              <w:rPr>
                <w:b/>
                <w:color w:val="71806F"/>
                <w:sz w:val="17"/>
              </w:rPr>
              <w:t xml:space="preserve">SAY  </w:t>
            </w:r>
            <w:r>
              <w:rPr>
                <w:sz w:val="17"/>
              </w:rPr>
              <w:t>Read the definition aloud: “A community is a group of people who live, learn, work, or help one another in a shared place.”</w:t>
            </w:r>
          </w:p>
          <w:p>
            <w:pPr>
              <w:spacing w:after="40"/>
            </w:pPr>
            <w:r>
              <w:rPr>
                <w:b/>
                <w:color w:val="71806F"/>
                <w:sz w:val="17"/>
              </w:rPr>
              <w:t xml:space="preserve">DO  </w:t>
            </w:r>
            <w:r>
              <w:rPr>
                <w:sz w:val="17"/>
              </w:rPr>
              <w:t>Have the girls repeat the three parts: people, places, services. Give one Kendall example for each.</w:t>
            </w:r>
          </w:p>
          <w:p>
            <w:pPr>
              <w:spacing w:after="0"/>
            </w:pPr>
            <w:r>
              <w:rPr>
                <w:b/>
                <w:color w:val="C8A96B"/>
                <w:sz w:val="17"/>
              </w:rPr>
              <w:t xml:space="preserve">ANSWER / LOOK FOR  </w:t>
            </w:r>
            <w:r>
              <w:rPr>
                <w:sz w:val="17"/>
              </w:rPr>
              <w:t>People + places + services are the key idea.</w:t>
            </w:r>
          </w:p>
        </w:tc>
      </w:tr>
    </w:tbl>
    <w:tbl>
      <w:tblPr>
        <w:tblStyle w:val="TableGrid"/>
        <w:tblW w:type="dxa" w:w="9993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5083"/>
        <w:gridCol w:w="5083"/>
      </w:tblGrid>
      <w:tr>
        <w:tc>
          <w:tcPr>
            <w:tcW w:type="dxa" w:w="893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  <w:shd w:fill="23364D"/>
          </w:tcPr>
          <w:p>
            <w:pPr>
              <w:jc w:val="center"/>
            </w:pPr>
            <w:r>
              <w:rPr>
                <w:b/>
                <w:color w:val="FFFFFF"/>
                <w:sz w:val="32"/>
              </w:rPr>
              <w:t>3</w:t>
            </w:r>
          </w:p>
        </w:tc>
        <w:tc>
          <w:tcPr>
            <w:tcW w:type="dxa" w:w="9101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  <w:shd w:fill="F7F8F6"/>
          </w:tcPr>
          <w:p>
            <w:r>
              <w:rPr>
                <w:b/>
                <w:color w:val="23364D"/>
                <w:sz w:val="20"/>
              </w:rPr>
              <w:t>Learning Target  •  2 min</w:t>
            </w:r>
          </w:p>
          <w:p>
            <w:pPr>
              <w:spacing w:after="40"/>
            </w:pPr>
            <w:r>
              <w:rPr>
                <w:b/>
                <w:color w:val="71806F"/>
                <w:sz w:val="17"/>
              </w:rPr>
              <w:t xml:space="preserve">SAY  </w:t>
            </w:r>
            <w:r>
              <w:rPr>
                <w:sz w:val="17"/>
              </w:rPr>
              <w:t>Read both I Can statements. “At the end, you will give examples from your own town.”</w:t>
            </w:r>
          </w:p>
          <w:p>
            <w:pPr>
              <w:spacing w:after="40"/>
            </w:pPr>
            <w:r>
              <w:rPr>
                <w:b/>
                <w:color w:val="71806F"/>
                <w:sz w:val="17"/>
              </w:rPr>
              <w:t xml:space="preserve">DO  </w:t>
            </w:r>
            <w:r>
              <w:rPr>
                <w:sz w:val="17"/>
              </w:rPr>
              <w:t>Ask Oaklynn to restate the target in her own words. Let Brooksley point to herself when she hears “I can.”</w:t>
            </w:r>
          </w:p>
        </w:tc>
      </w:tr>
    </w:tbl>
    <w:tbl>
      <w:tblPr>
        <w:tblStyle w:val="TableGrid"/>
        <w:tblW w:type="dxa" w:w="9993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5083"/>
        <w:gridCol w:w="5083"/>
      </w:tblGrid>
      <w:tr>
        <w:tc>
          <w:tcPr>
            <w:tcW w:type="dxa" w:w="893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  <w:shd w:fill="23364D"/>
          </w:tcPr>
          <w:p>
            <w:pPr>
              <w:jc w:val="center"/>
            </w:pPr>
            <w:r>
              <w:rPr>
                <w:b/>
                <w:color w:val="FFFFFF"/>
                <w:sz w:val="32"/>
              </w:rPr>
              <w:t>4</w:t>
            </w:r>
          </w:p>
        </w:tc>
        <w:tc>
          <w:tcPr>
            <w:tcW w:type="dxa" w:w="9101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  <w:shd w:fill="F7F8F6"/>
          </w:tcPr>
          <w:p>
            <w:r>
              <w:rPr>
                <w:b/>
                <w:color w:val="23364D"/>
                <w:sz w:val="20"/>
              </w:rPr>
              <w:t>Notice and Wonder  •  4 min</w:t>
            </w:r>
          </w:p>
          <w:p>
            <w:pPr>
              <w:spacing w:after="40"/>
            </w:pPr>
            <w:r>
              <w:rPr>
                <w:b/>
                <w:color w:val="71806F"/>
                <w:sz w:val="17"/>
              </w:rPr>
              <w:t xml:space="preserve">SAY  </w:t>
            </w:r>
            <w:r>
              <w:rPr>
                <w:sz w:val="17"/>
              </w:rPr>
              <w:t>“Look quietly first. What three things do you notice? What is one thing you wonder?”</w:t>
            </w:r>
          </w:p>
          <w:p>
            <w:pPr>
              <w:spacing w:after="40"/>
            </w:pPr>
            <w:r>
              <w:rPr>
                <w:b/>
                <w:color w:val="71806F"/>
                <w:sz w:val="17"/>
              </w:rPr>
              <w:t xml:space="preserve">DO  </w:t>
            </w:r>
            <w:r>
              <w:rPr>
                <w:sz w:val="17"/>
              </w:rPr>
              <w:t>Pause. Invite pointing or naming. Group answers aloud as person, place, or service.</w:t>
            </w:r>
          </w:p>
          <w:p>
            <w:pPr>
              <w:spacing w:after="0"/>
            </w:pPr>
            <w:r>
              <w:rPr>
                <w:b/>
                <w:color w:val="C8A96B"/>
                <w:sz w:val="17"/>
              </w:rPr>
              <w:t xml:space="preserve">ANSWER / LOOK FOR  </w:t>
            </w:r>
            <w:r>
              <w:rPr>
                <w:sz w:val="17"/>
              </w:rPr>
              <w:t>Accept visible details and reasonable questions; do not over-correct.</w:t>
            </w:r>
          </w:p>
        </w:tc>
      </w:tr>
    </w:tbl>
    <w:p>
      <w:r>
        <w:br w:type="page"/>
      </w:r>
    </w:p>
    <w:tbl>
      <w:tblPr>
        <w:tblStyle w:val="TableGrid"/>
        <w:tblW w:type="dxa" w:w="9993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0166"/>
      </w:tblGrid>
      <w:tr>
        <w:tc>
          <w:tcPr>
            <w:tcW w:type="dxa" w:w="9994"/>
            <w:vAlign w:val="center"/>
            <w:tcMar>
              <w:top w:w="150" w:type="dxa"/>
              <w:start w:w="190" w:type="dxa"/>
              <w:bottom w:w="150" w:type="dxa"/>
              <w:end w:w="190" w:type="dxa"/>
            </w:tcMar>
            <w:shd w:fill="23364D"/>
          </w:tcPr>
          <w:p>
            <w:pPr>
              <w:spacing w:after="60"/>
            </w:pPr>
            <w:r>
              <w:rPr>
                <w:rFonts w:ascii="Montserrat" w:hAnsi="Montserrat"/>
                <w:b/>
                <w:color w:val="C8A96B"/>
                <w:sz w:val="17"/>
              </w:rPr>
              <w:t>SLIDES 5–8</w:t>
            </w:r>
          </w:p>
          <w:p>
            <w:pPr>
              <w:spacing w:after="60"/>
            </w:pPr>
            <w:r>
              <w:rPr>
                <w:rFonts w:ascii="Fraunces" w:hAnsi="Fraunces"/>
                <w:b/>
                <w:color w:val="FFFFFF"/>
                <w:sz w:val="48"/>
              </w:rPr>
              <w:t>Build and Apply the Idea</w:t>
            </w:r>
          </w:p>
          <w:p>
            <w:pPr>
              <w:spacing w:after="0"/>
            </w:pPr>
            <w:r>
              <w:rPr>
                <w:rFonts w:ascii="Montserrat" w:hAnsi="Montserrat"/>
                <w:color w:val="EEF2EC"/>
                <w:sz w:val="21"/>
              </w:rPr>
              <w:t>About 15 minutes • Vocabulary, sorting, and Kendall</w:t>
            </w:r>
          </w:p>
        </w:tc>
      </w:tr>
    </w:tbl>
    <w:p>
      <w:pPr>
        <w:spacing w:after="40"/>
      </w:pPr>
    </w:p>
    <w:tbl>
      <w:tblPr>
        <w:tblStyle w:val="TableGrid"/>
        <w:tblW w:type="dxa" w:w="9993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5083"/>
        <w:gridCol w:w="5083"/>
      </w:tblGrid>
      <w:tr>
        <w:tc>
          <w:tcPr>
            <w:tcW w:type="dxa" w:w="893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  <w:shd w:fill="23364D"/>
          </w:tcPr>
          <w:p>
            <w:pPr>
              <w:jc w:val="center"/>
            </w:pPr>
            <w:r>
              <w:rPr>
                <w:b/>
                <w:color w:val="FFFFFF"/>
                <w:sz w:val="32"/>
              </w:rPr>
              <w:t>5</w:t>
            </w:r>
          </w:p>
        </w:tc>
        <w:tc>
          <w:tcPr>
            <w:tcW w:type="dxa" w:w="9101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  <w:shd w:fill="F7F8F6"/>
          </w:tcPr>
          <w:p>
            <w:r>
              <w:rPr>
                <w:b/>
                <w:color w:val="23364D"/>
                <w:sz w:val="20"/>
              </w:rPr>
              <w:t>Key Words to Know  •  4 min</w:t>
            </w:r>
          </w:p>
          <w:p>
            <w:pPr>
              <w:spacing w:after="40"/>
            </w:pPr>
            <w:r>
              <w:rPr>
                <w:b/>
                <w:color w:val="71806F"/>
                <w:sz w:val="17"/>
              </w:rPr>
              <w:t xml:space="preserve">SAY  </w:t>
            </w:r>
            <w:r>
              <w:rPr>
                <w:sz w:val="17"/>
              </w:rPr>
              <w:t>Read each word and definition. Add a simple example after each one.</w:t>
            </w:r>
          </w:p>
          <w:p>
            <w:pPr>
              <w:spacing w:after="40"/>
            </w:pPr>
            <w:r>
              <w:rPr>
                <w:b/>
                <w:color w:val="71806F"/>
                <w:sz w:val="17"/>
              </w:rPr>
              <w:t xml:space="preserve">DO  </w:t>
            </w:r>
            <w:r>
              <w:rPr>
                <w:sz w:val="17"/>
              </w:rPr>
              <w:t>Use gestures: community = circle arms; member = point to self; place = point down; service = helping hands.</w:t>
            </w:r>
          </w:p>
          <w:p>
            <w:pPr>
              <w:spacing w:after="0"/>
            </w:pPr>
            <w:r>
              <w:rPr>
                <w:b/>
                <w:color w:val="C8A96B"/>
                <w:sz w:val="17"/>
              </w:rPr>
              <w:t xml:space="preserve">ANSWER / LOOK FOR  </w:t>
            </w:r>
            <w:r>
              <w:rPr>
                <w:sz w:val="17"/>
              </w:rPr>
              <w:t>Community, community member, place, service.</w:t>
            </w:r>
          </w:p>
        </w:tc>
      </w:tr>
    </w:tbl>
    <w:tbl>
      <w:tblPr>
        <w:tblStyle w:val="TableGrid"/>
        <w:tblW w:type="dxa" w:w="9993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5083"/>
        <w:gridCol w:w="5083"/>
      </w:tblGrid>
      <w:tr>
        <w:tc>
          <w:tcPr>
            <w:tcW w:type="dxa" w:w="893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  <w:shd w:fill="23364D"/>
          </w:tcPr>
          <w:p>
            <w:pPr>
              <w:jc w:val="center"/>
            </w:pPr>
            <w:r>
              <w:rPr>
                <w:b/>
                <w:color w:val="FFFFFF"/>
                <w:sz w:val="32"/>
              </w:rPr>
              <w:t>6</w:t>
            </w:r>
          </w:p>
        </w:tc>
        <w:tc>
          <w:tcPr>
            <w:tcW w:type="dxa" w:w="9101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  <w:shd w:fill="F7F8F6"/>
          </w:tcPr>
          <w:p>
            <w:r>
              <w:rPr>
                <w:b/>
                <w:color w:val="23364D"/>
                <w:sz w:val="20"/>
              </w:rPr>
              <w:t>People, Places, and Services  •  3 min</w:t>
            </w:r>
          </w:p>
          <w:p>
            <w:pPr>
              <w:spacing w:after="40"/>
            </w:pPr>
            <w:r>
              <w:rPr>
                <w:b/>
                <w:color w:val="71806F"/>
                <w:sz w:val="17"/>
              </w:rPr>
              <w:t xml:space="preserve">SAY  </w:t>
            </w:r>
            <w:r>
              <w:rPr>
                <w:sz w:val="17"/>
              </w:rPr>
              <w:t>“People are who. Places are where. Services are helpful work.”</w:t>
            </w:r>
          </w:p>
          <w:p>
            <w:pPr>
              <w:spacing w:after="40"/>
            </w:pPr>
            <w:r>
              <w:rPr>
                <w:b/>
                <w:color w:val="71806F"/>
                <w:sz w:val="17"/>
              </w:rPr>
              <w:t xml:space="preserve">DO  </w:t>
            </w:r>
            <w:r>
              <w:rPr>
                <w:sz w:val="17"/>
              </w:rPr>
              <w:t>Read the examples: neighbors/teachers/farmers; homes/schools/parks; teaching/mail delivery/fire protection. Ask for one new example per category.</w:t>
            </w:r>
          </w:p>
        </w:tc>
      </w:tr>
    </w:tbl>
    <w:tbl>
      <w:tblPr>
        <w:tblStyle w:val="TableGrid"/>
        <w:tblW w:type="dxa" w:w="9993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5083"/>
        <w:gridCol w:w="5083"/>
      </w:tblGrid>
      <w:tr>
        <w:tc>
          <w:tcPr>
            <w:tcW w:type="dxa" w:w="893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  <w:shd w:fill="23364D"/>
          </w:tcPr>
          <w:p>
            <w:pPr>
              <w:jc w:val="center"/>
            </w:pPr>
            <w:r>
              <w:rPr>
                <w:b/>
                <w:color w:val="FFFFFF"/>
                <w:sz w:val="32"/>
              </w:rPr>
              <w:t>7</w:t>
            </w:r>
          </w:p>
        </w:tc>
        <w:tc>
          <w:tcPr>
            <w:tcW w:type="dxa" w:w="9101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  <w:shd w:fill="F7F8F6"/>
          </w:tcPr>
          <w:p>
            <w:r>
              <w:rPr>
                <w:b/>
                <w:color w:val="23364D"/>
                <w:sz w:val="20"/>
              </w:rPr>
              <w:t>Sort the Parts  •  5 min</w:t>
            </w:r>
          </w:p>
          <w:p>
            <w:pPr>
              <w:spacing w:after="40"/>
            </w:pPr>
            <w:r>
              <w:rPr>
                <w:b/>
                <w:color w:val="71806F"/>
                <w:sz w:val="17"/>
              </w:rPr>
              <w:t xml:space="preserve">SAY  </w:t>
            </w:r>
            <w:r>
              <w:rPr>
                <w:sz w:val="17"/>
              </w:rPr>
              <w:t>“Let’s match each example with what it is.”</w:t>
            </w:r>
          </w:p>
          <w:p>
            <w:pPr>
              <w:spacing w:after="40"/>
            </w:pPr>
            <w:r>
              <w:rPr>
                <w:b/>
                <w:color w:val="71806F"/>
                <w:sz w:val="17"/>
              </w:rPr>
              <w:t xml:space="preserve">DO  </w:t>
            </w:r>
            <w:r>
              <w:rPr>
                <w:sz w:val="17"/>
              </w:rPr>
              <w:t>Let Oaklynn answer first, then invite Brooksley to point or repeat. Use the screen interaction if available.</w:t>
            </w:r>
          </w:p>
          <w:p>
            <w:pPr>
              <w:spacing w:after="0"/>
            </w:pPr>
            <w:r>
              <w:rPr>
                <w:b/>
                <w:color w:val="C8A96B"/>
                <w:sz w:val="17"/>
              </w:rPr>
              <w:t xml:space="preserve">ANSWER / LOOK FOR  </w:t>
            </w:r>
            <w:r>
              <w:rPr>
                <w:sz w:val="17"/>
              </w:rPr>
              <w:t>Library &amp; park = places. Repairing roads = service. Firefighter &amp; farmer = people. Delivering mail = service.</w:t>
            </w:r>
          </w:p>
        </w:tc>
      </w:tr>
    </w:tbl>
    <w:tbl>
      <w:tblPr>
        <w:tblStyle w:val="TableGrid"/>
        <w:tblW w:type="dxa" w:w="9993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5083"/>
        <w:gridCol w:w="5083"/>
      </w:tblGrid>
      <w:tr>
        <w:tc>
          <w:tcPr>
            <w:tcW w:type="dxa" w:w="893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  <w:shd w:fill="23364D"/>
          </w:tcPr>
          <w:p>
            <w:pPr>
              <w:jc w:val="center"/>
            </w:pPr>
            <w:r>
              <w:rPr>
                <w:b/>
                <w:color w:val="FFFFFF"/>
                <w:sz w:val="32"/>
              </w:rPr>
              <w:t>8</w:t>
            </w:r>
          </w:p>
        </w:tc>
        <w:tc>
          <w:tcPr>
            <w:tcW w:type="dxa" w:w="9101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  <w:shd w:fill="F7F8F6"/>
          </w:tcPr>
          <w:p>
            <w:r>
              <w:rPr>
                <w:b/>
                <w:color w:val="23364D"/>
                <w:sz w:val="20"/>
              </w:rPr>
              <w:t>Your Rural Community—Kendall, NY  •  3 min</w:t>
            </w:r>
          </w:p>
          <w:p>
            <w:pPr>
              <w:spacing w:after="40"/>
            </w:pPr>
            <w:r>
              <w:rPr>
                <w:b/>
                <w:color w:val="71806F"/>
                <w:sz w:val="17"/>
              </w:rPr>
              <w:t xml:space="preserve">SAY  </w:t>
            </w:r>
            <w:r>
              <w:rPr>
                <w:sz w:val="17"/>
              </w:rPr>
              <w:t>“Kendall is our rural community. What do you see near home?”</w:t>
            </w:r>
          </w:p>
          <w:p>
            <w:pPr>
              <w:spacing w:after="40"/>
            </w:pPr>
            <w:r>
              <w:rPr>
                <w:b/>
                <w:color w:val="71806F"/>
                <w:sz w:val="17"/>
              </w:rPr>
              <w:t xml:space="preserve">DO  </w:t>
            </w:r>
            <w:r>
              <w:rPr>
                <w:sz w:val="17"/>
              </w:rPr>
              <w:t>Connect farms, quiet roads, homes, and helpers to real places the girls know.</w:t>
            </w:r>
          </w:p>
          <w:p>
            <w:pPr>
              <w:spacing w:after="0"/>
            </w:pPr>
            <w:r>
              <w:rPr>
                <w:b/>
                <w:color w:val="C8A96B"/>
                <w:sz w:val="17"/>
              </w:rPr>
              <w:t xml:space="preserve">ANSWER / LOOK FOR  </w:t>
            </w:r>
            <w:r>
              <w:rPr>
                <w:sz w:val="17"/>
              </w:rPr>
              <w:t>Listen for at least one local person, place, or service.</w:t>
            </w:r>
          </w:p>
        </w:tc>
      </w:tr>
    </w:tbl>
    <w:p>
      <w:r>
        <w:br w:type="page"/>
      </w:r>
    </w:p>
    <w:tbl>
      <w:tblPr>
        <w:tblStyle w:val="TableGrid"/>
        <w:tblW w:type="dxa" w:w="9993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0166"/>
      </w:tblGrid>
      <w:tr>
        <w:tc>
          <w:tcPr>
            <w:tcW w:type="dxa" w:w="9994"/>
            <w:vAlign w:val="center"/>
            <w:tcMar>
              <w:top w:w="150" w:type="dxa"/>
              <w:start w:w="190" w:type="dxa"/>
              <w:bottom w:w="150" w:type="dxa"/>
              <w:end w:w="190" w:type="dxa"/>
            </w:tcMar>
            <w:shd w:fill="23364D"/>
          </w:tcPr>
          <w:p>
            <w:pPr>
              <w:spacing w:after="60"/>
            </w:pPr>
            <w:r>
              <w:rPr>
                <w:rFonts w:ascii="Montserrat" w:hAnsi="Montserrat"/>
                <w:b/>
                <w:color w:val="C8A96B"/>
                <w:sz w:val="17"/>
              </w:rPr>
              <w:t>SLIDES 9–11 + PORTFOLIO</w:t>
            </w:r>
          </w:p>
          <w:p>
            <w:pPr>
              <w:spacing w:after="60"/>
            </w:pPr>
            <w:r>
              <w:rPr>
                <w:rFonts w:ascii="Fraunces" w:hAnsi="Fraunces"/>
                <w:b/>
                <w:color w:val="FFFFFF"/>
                <w:sz w:val="48"/>
              </w:rPr>
              <w:t>Check, Reflect, Save</w:t>
            </w:r>
          </w:p>
          <w:p>
            <w:pPr>
              <w:spacing w:after="0"/>
            </w:pPr>
            <w:r>
              <w:rPr>
                <w:rFonts w:ascii="Montserrat" w:hAnsi="Montserrat"/>
                <w:color w:val="EEF2EC"/>
                <w:sz w:val="21"/>
              </w:rPr>
              <w:t>About 15–20 minutes • Finish with the learner packet</w:t>
            </w:r>
          </w:p>
        </w:tc>
      </w:tr>
    </w:tbl>
    <w:p>
      <w:pPr>
        <w:spacing w:after="40"/>
      </w:pPr>
    </w:p>
    <w:tbl>
      <w:tblPr>
        <w:tblStyle w:val="TableGrid"/>
        <w:tblW w:type="dxa" w:w="9993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5083"/>
        <w:gridCol w:w="5083"/>
      </w:tblGrid>
      <w:tr>
        <w:tc>
          <w:tcPr>
            <w:tcW w:type="dxa" w:w="893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  <w:shd w:fill="23364D"/>
          </w:tcPr>
          <w:p>
            <w:pPr>
              <w:jc w:val="center"/>
            </w:pPr>
            <w:r>
              <w:rPr>
                <w:b/>
                <w:color w:val="FFFFFF"/>
                <w:sz w:val="32"/>
              </w:rPr>
              <w:t>9</w:t>
            </w:r>
          </w:p>
        </w:tc>
        <w:tc>
          <w:tcPr>
            <w:tcW w:type="dxa" w:w="9101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  <w:shd w:fill="F7F8F6"/>
          </w:tcPr>
          <w:p>
            <w:r>
              <w:rPr>
                <w:b/>
                <w:color w:val="23364D"/>
                <w:sz w:val="20"/>
              </w:rPr>
              <w:t>Working Together Scenario  •  3 min</w:t>
            </w:r>
          </w:p>
          <w:p>
            <w:pPr>
              <w:spacing w:after="40"/>
            </w:pPr>
            <w:r>
              <w:rPr>
                <w:b/>
                <w:color w:val="71806F"/>
                <w:sz w:val="17"/>
              </w:rPr>
              <w:t xml:space="preserve">SAY  </w:t>
            </w:r>
            <w:r>
              <w:rPr>
                <w:sz w:val="17"/>
              </w:rPr>
              <w:t>Read the park-cleanup scenario and all four choices.</w:t>
            </w:r>
          </w:p>
          <w:p>
            <w:pPr>
              <w:spacing w:after="40"/>
            </w:pPr>
            <w:r>
              <w:rPr>
                <w:b/>
                <w:color w:val="71806F"/>
                <w:sz w:val="17"/>
              </w:rPr>
              <w:t xml:space="preserve">DO  </w:t>
            </w:r>
            <w:r>
              <w:rPr>
                <w:sz w:val="17"/>
              </w:rPr>
              <w:t>Ask, “Which choice shows cooperation for a shared place—and why?”</w:t>
            </w:r>
          </w:p>
          <w:p>
            <w:pPr>
              <w:spacing w:after="0"/>
            </w:pPr>
            <w:r>
              <w:rPr>
                <w:b/>
                <w:color w:val="C8A96B"/>
                <w:sz w:val="17"/>
              </w:rPr>
              <w:t xml:space="preserve">ANSWER / LOOK FOR  </w:t>
            </w:r>
            <w:r>
              <w:rPr>
                <w:sz w:val="17"/>
              </w:rPr>
              <w:t>Choice 2: cooperating to care for a shared community place.</w:t>
            </w:r>
          </w:p>
        </w:tc>
      </w:tr>
    </w:tbl>
    <w:tbl>
      <w:tblPr>
        <w:tblStyle w:val="TableGrid"/>
        <w:tblW w:type="dxa" w:w="9993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5083"/>
        <w:gridCol w:w="5083"/>
      </w:tblGrid>
      <w:tr>
        <w:tc>
          <w:tcPr>
            <w:tcW w:type="dxa" w:w="893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  <w:shd w:fill="23364D"/>
          </w:tcPr>
          <w:p>
            <w:pPr>
              <w:jc w:val="center"/>
            </w:pPr>
            <w:r>
              <w:rPr>
                <w:b/>
                <w:color w:val="FFFFFF"/>
                <w:sz w:val="32"/>
              </w:rPr>
              <w:t>10</w:t>
            </w:r>
          </w:p>
        </w:tc>
        <w:tc>
          <w:tcPr>
            <w:tcW w:type="dxa" w:w="9101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  <w:shd w:fill="F7F8F6"/>
          </w:tcPr>
          <w:p>
            <w:r>
              <w:rPr>
                <w:b/>
                <w:color w:val="23364D"/>
                <w:sz w:val="20"/>
              </w:rPr>
              <w:t>Community Check-Up  •  4 min</w:t>
            </w:r>
          </w:p>
          <w:p>
            <w:pPr>
              <w:spacing w:after="40"/>
            </w:pPr>
            <w:r>
              <w:rPr>
                <w:b/>
                <w:color w:val="71806F"/>
                <w:sz w:val="17"/>
              </w:rPr>
              <w:t xml:space="preserve">SAY  </w:t>
            </w:r>
            <w:r>
              <w:rPr>
                <w:sz w:val="17"/>
              </w:rPr>
              <w:t>Read one question at a time and wait for an answer.</w:t>
            </w:r>
          </w:p>
          <w:p>
            <w:pPr>
              <w:spacing w:after="40"/>
            </w:pPr>
            <w:r>
              <w:rPr>
                <w:b/>
                <w:color w:val="71806F"/>
                <w:sz w:val="17"/>
              </w:rPr>
              <w:t xml:space="preserve">DO  </w:t>
            </w:r>
            <w:r>
              <w:rPr>
                <w:sz w:val="17"/>
              </w:rPr>
              <w:t>Oaklynn answers independently. Brooksley may point, say a word, or echo.</w:t>
            </w:r>
          </w:p>
          <w:p>
            <w:pPr>
              <w:spacing w:after="0"/>
            </w:pPr>
            <w:r>
              <w:rPr>
                <w:b/>
                <w:color w:val="C8A96B"/>
                <w:sz w:val="17"/>
              </w:rPr>
              <w:t xml:space="preserve">ANSWER / LOOK FOR  </w:t>
            </w:r>
            <w:r>
              <w:rPr>
                <w:sz w:val="17"/>
              </w:rPr>
              <w:t>1 = B, Public Library. 2 = Person. 3 = any valid helper, such as firefighter, farmer, teacher, librarian, mail carrier, or road worker.</w:t>
            </w:r>
          </w:p>
        </w:tc>
      </w:tr>
    </w:tbl>
    <w:tbl>
      <w:tblPr>
        <w:tblStyle w:val="TableGrid"/>
        <w:tblW w:type="dxa" w:w="9993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5083"/>
        <w:gridCol w:w="5083"/>
      </w:tblGrid>
      <w:tr>
        <w:tc>
          <w:tcPr>
            <w:tcW w:type="dxa" w:w="893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  <w:shd w:fill="23364D"/>
          </w:tcPr>
          <w:p>
            <w:pPr>
              <w:jc w:val="center"/>
            </w:pPr>
            <w:r>
              <w:rPr>
                <w:b/>
                <w:color w:val="FFFFFF"/>
                <w:sz w:val="32"/>
              </w:rPr>
              <w:t>11</w:t>
            </w:r>
          </w:p>
        </w:tc>
        <w:tc>
          <w:tcPr>
            <w:tcW w:type="dxa" w:w="9101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  <w:shd w:fill="F7F8F6"/>
          </w:tcPr>
          <w:p>
            <w:r>
              <w:rPr>
                <w:b/>
                <w:color w:val="23364D"/>
                <w:sz w:val="20"/>
              </w:rPr>
              <w:t>Great Work Today!  •  2 min</w:t>
            </w:r>
          </w:p>
          <w:p>
            <w:pPr>
              <w:spacing w:after="40"/>
            </w:pPr>
            <w:r>
              <w:rPr>
                <w:b/>
                <w:color w:val="71806F"/>
                <w:sz w:val="17"/>
              </w:rPr>
              <w:t xml:space="preserve">SAY  </w:t>
            </w:r>
            <w:r>
              <w:rPr>
                <w:sz w:val="17"/>
              </w:rPr>
              <w:t>“A community is people sharing a place. It has people, places, and services.”</w:t>
            </w:r>
          </w:p>
          <w:p>
            <w:pPr>
              <w:spacing w:after="40"/>
            </w:pPr>
            <w:r>
              <w:rPr>
                <w:b/>
                <w:color w:val="71806F"/>
                <w:sz w:val="17"/>
              </w:rPr>
              <w:t xml:space="preserve">DO  </w:t>
            </w:r>
            <w:r>
              <w:rPr>
                <w:sz w:val="17"/>
              </w:rPr>
              <w:t>Preview Friday: draw one person, one place, and one service in your town. Ask the girls to look for ideas during the week.</w:t>
            </w:r>
          </w:p>
        </w:tc>
      </w:tr>
    </w:tbl>
    <w:p>
      <w:pPr>
        <w:pStyle w:val="Heading1"/>
      </w:pPr>
      <w:r>
        <w:t>Complete the learner packet</w:t>
      </w:r>
    </w:p>
    <w:p>
      <w:pPr>
        <w:spacing w:after="60"/>
        <w:ind w:left="230"/>
      </w:pPr>
      <w:r>
        <w:rPr>
          <w:color w:val="23364D"/>
          <w:sz w:val="18"/>
        </w:rPr>
        <w:t>Page 1: Oaklynn sorts the six examples, draws a Kendall person/place/service, and writes one way she can help. Brooksley may circle, dictate, or draw alongside her.</w:t>
      </w:r>
    </w:p>
    <w:p>
      <w:pPr>
        <w:spacing w:after="60"/>
        <w:ind w:left="230"/>
      </w:pPr>
      <w:r>
        <w:rPr>
          <w:color w:val="23364D"/>
          <w:sz w:val="18"/>
        </w:rPr>
        <w:t>Page 2: Oaklynn adds one example to every bubble and draws lines showing how her communities connect. Ask: “What do these communities share?”</w:t>
      </w:r>
    </w:p>
    <w:p>
      <w:pPr>
        <w:spacing w:after="60"/>
        <w:ind w:left="230"/>
      </w:pPr>
      <w:r>
        <w:rPr>
          <w:color w:val="23364D"/>
          <w:sz w:val="18"/>
        </w:rPr>
        <w:t>Write the date, give brief help only when needed, and save Page 2 in Oaklynn’s Social Studies portfolio as Week 1 evidence.</w:t>
      </w:r>
    </w:p>
    <w:tbl>
      <w:tblPr>
        <w:tblStyle w:val="TableGrid"/>
        <w:tblW w:type="dxa" w:w="9993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0166"/>
      </w:tblGrid>
      <w:tr>
        <w:tc>
          <w:tcPr>
            <w:tcW w:type="dxa" w:w="9994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  <w:shd w:fill="EDF1F4"/>
          </w:tcPr>
          <w:p>
            <w:r>
              <w:rPr>
                <w:b/>
                <w:color w:val="23364D"/>
              </w:rPr>
              <w:t xml:space="preserve">CLOSING PRAYER / REFLECTION  </w:t>
            </w:r>
            <w:r>
              <w:t>“Thank You, God, for the people and places that care for us. Help us be good community members who notice needs and help.”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37" w:bottom="936" w:left="1037" w:header="403" w:footer="115" w:gutter="0"/>
      <w:cols w:space="720"/>
      <w:docGrid w:linePitch="360"/>
      <w:pgBorders w:offsetFrom="page">
        <w:top w:val="single" w:sz="9" w:space="18" w:color="71806F"/>
        <w:left w:val="single" w:sz="9" w:space="18" w:color="71806F"/>
        <w:bottom w:val="single" w:sz="9" w:space="18" w:color="71806F"/>
        <w:right w:val="single" w:sz="9" w:space="18" w:color="71806F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center"/>
    </w:pPr>
    <w:r>
      <w:drawing>
        <wp:inline xmlns:a="http://schemas.openxmlformats.org/drawingml/2006/main" xmlns:pic="http://schemas.openxmlformats.org/drawingml/2006/picture">
          <wp:extent cx="5989320" cy="39319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exec-80e79e08-51cb-4d60-9afd-d175c15febf5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89320" cy="393192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 w:after="0"/>
      <w:jc w:val="center"/>
    </w:pPr>
    <w:r>
      <w:rPr>
        <w:rFonts w:ascii="Montserrat" w:hAnsi="Montserrat"/>
        <w:i/>
        <w:color w:val="536270"/>
        <w:sz w:val="15"/>
      </w:rPr>
      <w:t>Rooted in Faith – Growing in Wisdom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Montserrat" w:hAnsi="Montserrat"/>
        <w:b/>
        <w:color w:val="536270"/>
        <w:sz w:val="16"/>
      </w:rPr>
      <w:t>OAKBROOK WAY ACADEMY  •  SOCIAL STUDIES  •  WEEK 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4" w:lineRule="auto"/>
    </w:pPr>
    <w:rPr>
      <w:rFonts w:ascii="Montserrat" w:hAnsi="Montserrat"/>
      <w:color w:val="23364D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Fraunces" w:hAnsi="Fraunces"/>
      <w:b/>
      <w:bCs/>
      <w:color w:val="23364D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Fraunces" w:hAnsi="Fraunces"/>
      <w:b/>
      <w:bCs/>
      <w:color w:val="2336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Fraunces" w:hAnsi="Fraunces"/>
      <w:b/>
      <w:bCs/>
      <w:color w:val="23364D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 w:before="0"/>
      <w:contextualSpacing/>
    </w:pPr>
    <w:rPr>
      <w:rFonts w:asciiTheme="majorHAnsi" w:eastAsiaTheme="majorEastAsia" w:hAnsiTheme="majorHAnsi" w:cstheme="majorBidi" w:ascii="Fraunces" w:hAnsi="Fraunces"/>
      <w:b/>
      <w:color w:val="23364D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app.chalkie.ai/lessons/a2a39e3b-fce6-4bf0-b670-8ce6fe5001db?ref=FMHJLQKX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 1 Chalkie Class Flow for Cody</dc:title>
  <dc:subject/>
  <dc:creator>OakBrook Way Academy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